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0D21D">
      <w:pPr>
        <w:spacing w:line="360" w:lineRule="auto"/>
        <w:rPr>
          <w:rFonts w:hint="eastAsia" w:ascii="宋体" w:hAnsi="宋体" w:eastAsia="宋体" w:cs="宋体"/>
          <w:b/>
          <w:bCs w:val="0"/>
          <w:color w:val="auto"/>
          <w:sz w:val="28"/>
          <w:szCs w:val="28"/>
          <w:highlight w:val="none"/>
          <w:u w:val="none"/>
          <w:lang w:val="en-US" w:eastAsia="zh-CN"/>
        </w:rPr>
      </w:pPr>
      <w:r>
        <w:rPr>
          <w:rFonts w:hint="eastAsia" w:ascii="宋体" w:hAnsi="宋体" w:eastAsia="宋体" w:cs="宋体"/>
          <w:b/>
          <w:bCs w:val="0"/>
          <w:color w:val="auto"/>
          <w:sz w:val="28"/>
          <w:szCs w:val="28"/>
          <w:highlight w:val="none"/>
          <w:u w:val="none"/>
          <w:lang w:val="en-US" w:eastAsia="zh-CN"/>
        </w:rPr>
        <w:t>附件：</w:t>
      </w:r>
    </w:p>
    <w:p w14:paraId="54E97414">
      <w:pPr>
        <w:spacing w:line="360" w:lineRule="auto"/>
        <w:jc w:val="center"/>
        <w:rPr>
          <w:rFonts w:hint="eastAsia" w:ascii="宋体" w:hAnsi="宋体" w:eastAsia="宋体" w:cs="宋体"/>
          <w:b/>
          <w:bCs w:val="0"/>
          <w:color w:val="auto"/>
          <w:sz w:val="48"/>
          <w:szCs w:val="48"/>
          <w:highlight w:val="none"/>
          <w:u w:val="none"/>
          <w:lang w:val="en-US" w:eastAsia="zh-CN"/>
        </w:rPr>
      </w:pPr>
    </w:p>
    <w:p w14:paraId="1EBCE355">
      <w:pPr>
        <w:spacing w:line="360" w:lineRule="auto"/>
        <w:jc w:val="center"/>
        <w:rPr>
          <w:rFonts w:hint="eastAsia" w:ascii="宋体" w:hAnsi="宋体" w:eastAsia="宋体" w:cs="宋体"/>
          <w:b/>
          <w:bCs w:val="0"/>
          <w:color w:val="auto"/>
          <w:sz w:val="40"/>
          <w:szCs w:val="40"/>
          <w:highlight w:val="none"/>
          <w:u w:val="none"/>
          <w:lang w:val="en-US" w:eastAsia="zh-CN"/>
        </w:rPr>
      </w:pPr>
      <w:r>
        <w:rPr>
          <w:rFonts w:hint="eastAsia" w:ascii="宋体" w:hAnsi="宋体" w:eastAsia="宋体" w:cs="宋体"/>
          <w:b/>
          <w:bCs w:val="0"/>
          <w:color w:val="auto"/>
          <w:sz w:val="60"/>
          <w:szCs w:val="60"/>
          <w:highlight w:val="none"/>
          <w:u w:val="none"/>
          <w:lang w:val="en-US" w:eastAsia="zh-CN"/>
        </w:rPr>
        <w:t>赤水市中医医院医养结合服务能力提升项目设备采购</w:t>
      </w:r>
    </w:p>
    <w:p w14:paraId="259DCF67">
      <w:pPr>
        <w:spacing w:line="360" w:lineRule="auto"/>
        <w:jc w:val="center"/>
        <w:rPr>
          <w:rFonts w:hint="eastAsia" w:ascii="宋体" w:hAnsi="宋体" w:eastAsia="宋体" w:cs="宋体"/>
          <w:b/>
          <w:bCs w:val="0"/>
          <w:color w:val="auto"/>
          <w:sz w:val="48"/>
          <w:szCs w:val="48"/>
          <w:highlight w:val="none"/>
          <w:u w:val="none"/>
          <w:lang w:val="en-US" w:eastAsia="zh-CN"/>
        </w:rPr>
      </w:pPr>
    </w:p>
    <w:p w14:paraId="29674C0F">
      <w:pPr>
        <w:spacing w:line="360" w:lineRule="auto"/>
        <w:jc w:val="center"/>
        <w:rPr>
          <w:rFonts w:hint="eastAsia" w:ascii="宋体" w:hAnsi="宋体" w:eastAsia="宋体" w:cs="宋体"/>
          <w:b/>
          <w:bCs w:val="0"/>
          <w:color w:val="auto"/>
          <w:sz w:val="72"/>
          <w:szCs w:val="72"/>
          <w:highlight w:val="none"/>
          <w:u w:val="none"/>
          <w:lang w:val="en-US" w:eastAsia="zh-CN"/>
        </w:rPr>
      </w:pPr>
      <w:r>
        <w:rPr>
          <w:rFonts w:hint="eastAsia" w:ascii="宋体" w:hAnsi="宋体" w:eastAsia="宋体" w:cs="宋体"/>
          <w:b/>
          <w:bCs w:val="0"/>
          <w:color w:val="auto"/>
          <w:sz w:val="72"/>
          <w:szCs w:val="72"/>
          <w:highlight w:val="none"/>
          <w:u w:val="none"/>
          <w:lang w:val="en-US" w:eastAsia="zh-CN"/>
        </w:rPr>
        <w:t>采  购  需  求</w:t>
      </w:r>
    </w:p>
    <w:p w14:paraId="3E21049B">
      <w:pPr>
        <w:spacing w:line="360" w:lineRule="auto"/>
        <w:jc w:val="center"/>
        <w:rPr>
          <w:rFonts w:hint="eastAsia" w:ascii="宋体" w:hAnsi="宋体" w:eastAsia="宋体" w:cs="宋体"/>
          <w:sz w:val="24"/>
          <w:szCs w:val="24"/>
          <w:highlight w:val="none"/>
        </w:rPr>
      </w:pPr>
    </w:p>
    <w:p w14:paraId="548D0BDC">
      <w:pPr>
        <w:spacing w:line="360" w:lineRule="auto"/>
        <w:jc w:val="center"/>
        <w:rPr>
          <w:rFonts w:hint="eastAsia" w:ascii="宋体" w:hAnsi="宋体" w:eastAsia="宋体" w:cs="宋体"/>
          <w:sz w:val="24"/>
          <w:szCs w:val="24"/>
          <w:highlight w:val="none"/>
        </w:rPr>
      </w:pPr>
    </w:p>
    <w:p w14:paraId="2F723554">
      <w:pPr>
        <w:spacing w:line="360" w:lineRule="auto"/>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项目</w:t>
      </w:r>
      <w:r>
        <w:rPr>
          <w:rFonts w:hint="eastAsia" w:ascii="宋体" w:hAnsi="宋体" w:eastAsia="宋体" w:cs="宋体"/>
          <w:b/>
          <w:bCs/>
          <w:sz w:val="28"/>
          <w:szCs w:val="28"/>
          <w:highlight w:val="none"/>
        </w:rPr>
        <w:t>编号：</w:t>
      </w:r>
      <w:r>
        <w:rPr>
          <w:rFonts w:hint="eastAsia" w:ascii="宋体" w:hAnsi="宋体" w:eastAsia="宋体" w:cs="宋体"/>
          <w:b/>
          <w:bCs/>
          <w:sz w:val="28"/>
          <w:szCs w:val="28"/>
          <w:highlight w:val="none"/>
          <w:lang w:eastAsia="zh-CN"/>
        </w:rPr>
        <w:t>CH-2026-ZCT003</w:t>
      </w:r>
    </w:p>
    <w:p w14:paraId="0C3E91ED">
      <w:pPr>
        <w:spacing w:line="360" w:lineRule="auto"/>
        <w:jc w:val="center"/>
        <w:rPr>
          <w:rFonts w:hint="eastAsia" w:ascii="宋体" w:hAnsi="宋体" w:eastAsia="宋体" w:cs="宋体"/>
          <w:sz w:val="24"/>
          <w:szCs w:val="24"/>
          <w:highlight w:val="none"/>
        </w:rPr>
      </w:pPr>
    </w:p>
    <w:p w14:paraId="58201819">
      <w:pPr>
        <w:spacing w:line="360" w:lineRule="auto"/>
        <w:jc w:val="center"/>
        <w:rPr>
          <w:rFonts w:hint="eastAsia" w:ascii="宋体" w:hAnsi="宋体" w:eastAsia="宋体" w:cs="宋体"/>
          <w:sz w:val="24"/>
          <w:szCs w:val="24"/>
          <w:highlight w:val="none"/>
        </w:rPr>
      </w:pPr>
    </w:p>
    <w:p w14:paraId="1E05999F">
      <w:pPr>
        <w:spacing w:line="360" w:lineRule="auto"/>
        <w:jc w:val="center"/>
        <w:rPr>
          <w:rFonts w:hint="eastAsia" w:ascii="宋体" w:hAnsi="宋体" w:eastAsia="宋体" w:cs="宋体"/>
          <w:sz w:val="24"/>
          <w:szCs w:val="24"/>
          <w:highlight w:val="none"/>
        </w:rPr>
      </w:pPr>
    </w:p>
    <w:p w14:paraId="5F96C27D">
      <w:pPr>
        <w:spacing w:line="360" w:lineRule="auto"/>
        <w:jc w:val="center"/>
        <w:rPr>
          <w:rFonts w:hint="eastAsia" w:ascii="宋体" w:hAnsi="宋体" w:eastAsia="宋体" w:cs="宋体"/>
          <w:sz w:val="24"/>
          <w:szCs w:val="24"/>
          <w:highlight w:val="none"/>
        </w:rPr>
      </w:pPr>
    </w:p>
    <w:p w14:paraId="261809B0">
      <w:pPr>
        <w:spacing w:line="360" w:lineRule="auto"/>
        <w:jc w:val="both"/>
        <w:rPr>
          <w:rFonts w:hint="eastAsia" w:ascii="宋体" w:hAnsi="宋体" w:eastAsia="宋体" w:cs="宋体"/>
          <w:sz w:val="24"/>
          <w:szCs w:val="24"/>
          <w:highlight w:val="none"/>
        </w:rPr>
      </w:pPr>
    </w:p>
    <w:p w14:paraId="2D93D73E">
      <w:pPr>
        <w:spacing w:line="360" w:lineRule="auto"/>
        <w:jc w:val="both"/>
        <w:rPr>
          <w:rFonts w:hint="eastAsia" w:ascii="宋体" w:hAnsi="宋体" w:eastAsia="宋体" w:cs="宋体"/>
          <w:sz w:val="28"/>
          <w:szCs w:val="28"/>
          <w:highlight w:val="none"/>
        </w:rPr>
      </w:pPr>
    </w:p>
    <w:p w14:paraId="2145A558">
      <w:pPr>
        <w:spacing w:line="360" w:lineRule="auto"/>
        <w:jc w:val="center"/>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rPr>
        <w:t>采 购 单 位：</w:t>
      </w:r>
      <w:r>
        <w:rPr>
          <w:rFonts w:hint="eastAsia" w:ascii="宋体" w:hAnsi="宋体" w:eastAsia="宋体" w:cs="宋体"/>
          <w:b/>
          <w:bCs/>
          <w:sz w:val="28"/>
          <w:szCs w:val="28"/>
          <w:highlight w:val="none"/>
          <w:lang w:eastAsia="zh-CN"/>
        </w:rPr>
        <w:t>赤水市中医医院</w:t>
      </w:r>
    </w:p>
    <w:p w14:paraId="0E5D2371">
      <w:pPr>
        <w:spacing w:line="360" w:lineRule="auto"/>
        <w:jc w:val="center"/>
        <w:rPr>
          <w:rFonts w:hint="eastAsia" w:ascii="宋体" w:hAnsi="宋体" w:eastAsia="宋体" w:cs="宋体"/>
          <w:sz w:val="28"/>
          <w:szCs w:val="28"/>
          <w:highlight w:val="none"/>
        </w:rPr>
      </w:pPr>
    </w:p>
    <w:p w14:paraId="3F5EF41A">
      <w:pPr>
        <w:spacing w:line="36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招标代理单位：贵州采虹招标咨询有限公司</w:t>
      </w:r>
    </w:p>
    <w:p w14:paraId="7B76162B">
      <w:pPr>
        <w:spacing w:line="360" w:lineRule="auto"/>
        <w:jc w:val="both"/>
        <w:rPr>
          <w:rFonts w:hint="eastAsia" w:ascii="宋体" w:hAnsi="宋体" w:eastAsia="宋体" w:cs="宋体"/>
          <w:b/>
          <w:bCs/>
          <w:sz w:val="28"/>
          <w:szCs w:val="28"/>
          <w:highlight w:val="none"/>
        </w:rPr>
      </w:pPr>
    </w:p>
    <w:p w14:paraId="3CFB8998">
      <w:pPr>
        <w:spacing w:line="360" w:lineRule="auto"/>
        <w:jc w:val="both"/>
        <w:rPr>
          <w:rFonts w:hint="eastAsia" w:ascii="宋体" w:hAnsi="宋体" w:eastAsia="宋体" w:cs="宋体"/>
          <w:b/>
          <w:bCs/>
          <w:sz w:val="28"/>
          <w:szCs w:val="28"/>
          <w:highlight w:val="none"/>
        </w:rPr>
      </w:pPr>
    </w:p>
    <w:p w14:paraId="19A191C5">
      <w:pPr>
        <w:spacing w:line="360" w:lineRule="auto"/>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2026年10月</w:t>
      </w:r>
    </w:p>
    <w:p w14:paraId="4E6293B8">
      <w:pPr>
        <w:spacing w:line="360" w:lineRule="auto"/>
        <w:rPr>
          <w:rFonts w:hint="eastAsia" w:ascii="宋体" w:hAnsi="宋体" w:eastAsia="宋体" w:cs="宋体"/>
          <w:b/>
          <w:bCs/>
          <w:sz w:val="24"/>
          <w:szCs w:val="24"/>
          <w:highlight w:val="none"/>
          <w:lang w:val="en-US" w:eastAsia="zh-CN"/>
        </w:rPr>
      </w:pPr>
    </w:p>
    <w:p w14:paraId="4405B87A">
      <w:pPr>
        <w:pStyle w:val="3"/>
        <w:pageBreakBefore w:val="0"/>
        <w:widowControl w:val="0"/>
        <w:numPr>
          <w:ilvl w:val="0"/>
          <w:numId w:val="0"/>
        </w:numPr>
        <w:kinsoku/>
        <w:wordWrap/>
        <w:overflowPunct/>
        <w:topLinePunct w:val="0"/>
        <w:bidi w:val="0"/>
        <w:snapToGrid/>
        <w:spacing w:before="0" w:line="360" w:lineRule="auto"/>
        <w:ind w:left="0" w:leftChars="0" w:firstLine="361" w:firstLineChars="150"/>
        <w:jc w:val="left"/>
        <w:textAlignment w:val="auto"/>
        <w:rPr>
          <w:rFonts w:hint="eastAsia" w:ascii="宋体" w:hAnsi="宋体" w:eastAsia="宋体" w:cs="宋体"/>
          <w:b/>
          <w:color w:val="auto"/>
          <w:kern w:val="0"/>
          <w:sz w:val="24"/>
          <w:szCs w:val="24"/>
          <w:highlight w:val="none"/>
          <w:lang w:val="en-US" w:eastAsia="zh-CN" w:bidi="ar-SA"/>
        </w:rPr>
      </w:pPr>
      <w:bookmarkStart w:id="0" w:name="_Toc23902"/>
      <w:bookmarkStart w:id="1" w:name="_Toc17848"/>
      <w:r>
        <w:rPr>
          <w:rFonts w:hint="eastAsia" w:ascii="宋体" w:hAnsi="宋体" w:eastAsia="宋体" w:cs="宋体"/>
          <w:b/>
          <w:color w:val="auto"/>
          <w:kern w:val="0"/>
          <w:sz w:val="24"/>
          <w:szCs w:val="24"/>
          <w:highlight w:val="none"/>
          <w:lang w:val="en-US" w:eastAsia="zh-CN" w:bidi="ar-SA"/>
        </w:rPr>
        <w:t>为促进各类市场主体平等参与政府采购活动，我单位通过发布采购需求公示公开征询意见，征询意见的内容包括但不限于采购需求是否存在指向性、倾向性条款。公示内容如下：</w:t>
      </w:r>
    </w:p>
    <w:p w14:paraId="6CFFC9DC">
      <w:pPr>
        <w:pStyle w:val="3"/>
        <w:pageBreakBefore w:val="0"/>
        <w:widowControl w:val="0"/>
        <w:numPr>
          <w:ilvl w:val="0"/>
          <w:numId w:val="0"/>
        </w:numPr>
        <w:kinsoku/>
        <w:wordWrap/>
        <w:overflowPunct/>
        <w:topLinePunct w:val="0"/>
        <w:bidi w:val="0"/>
        <w:snapToGrid/>
        <w:spacing w:before="0" w:line="360" w:lineRule="auto"/>
        <w:ind w:left="0" w:leftChars="0" w:firstLine="422" w:firstLineChars="150"/>
        <w:textAlignment w:val="auto"/>
        <w:rPr>
          <w:rFonts w:hint="eastAsia" w:ascii="宋体" w:hAnsi="宋体" w:eastAsia="宋体" w:cs="宋体"/>
          <w:b/>
          <w:color w:val="auto"/>
          <w:kern w:val="0"/>
          <w:sz w:val="28"/>
          <w:szCs w:val="28"/>
          <w:highlight w:val="none"/>
          <w:lang w:val="en-US" w:eastAsia="zh-CN" w:bidi="ar-SA"/>
        </w:rPr>
      </w:pPr>
    </w:p>
    <w:p w14:paraId="73E038E3">
      <w:pPr>
        <w:pStyle w:val="3"/>
        <w:pageBreakBefore w:val="0"/>
        <w:widowControl w:val="0"/>
        <w:numPr>
          <w:ilvl w:val="0"/>
          <w:numId w:val="0"/>
        </w:numPr>
        <w:kinsoku/>
        <w:wordWrap/>
        <w:overflowPunct/>
        <w:topLinePunct w:val="0"/>
        <w:bidi w:val="0"/>
        <w:snapToGrid/>
        <w:spacing w:before="0" w:line="360" w:lineRule="auto"/>
        <w:ind w:left="0" w:leftChars="0" w:firstLine="422" w:firstLineChars="150"/>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val="en-US" w:eastAsia="zh-CN" w:bidi="ar-SA"/>
        </w:rPr>
        <w:t>一、</w:t>
      </w:r>
      <w:r>
        <w:rPr>
          <w:rFonts w:hint="eastAsia" w:ascii="宋体" w:hAnsi="宋体" w:eastAsia="宋体" w:cs="宋体"/>
          <w:color w:val="auto"/>
          <w:sz w:val="28"/>
          <w:szCs w:val="28"/>
          <w:highlight w:val="none"/>
        </w:rPr>
        <w:t>项目基本情况</w:t>
      </w:r>
      <w:bookmarkEnd w:id="0"/>
      <w:bookmarkEnd w:id="1"/>
    </w:p>
    <w:p w14:paraId="779127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1、项目编号</w:t>
      </w:r>
      <w:r>
        <w:rPr>
          <w:rFonts w:hint="eastAsia" w:ascii="宋体" w:hAnsi="宋体" w:eastAsia="宋体" w:cs="宋体"/>
          <w:color w:val="auto"/>
          <w:kern w:val="0"/>
          <w:sz w:val="24"/>
          <w:szCs w:val="24"/>
          <w:highlight w:val="none"/>
          <w:lang w:eastAsia="zh-CN"/>
        </w:rPr>
        <w:t>：CH-2026-ZCT003</w:t>
      </w:r>
      <w:r>
        <w:rPr>
          <w:rFonts w:hint="eastAsia" w:ascii="宋体" w:hAnsi="宋体" w:eastAsia="宋体" w:cs="宋体"/>
          <w:color w:val="auto"/>
          <w:kern w:val="0"/>
          <w:sz w:val="24"/>
          <w:szCs w:val="24"/>
          <w:highlight w:val="none"/>
          <w:lang w:val="en-US" w:eastAsia="zh-CN"/>
        </w:rPr>
        <w:tab/>
      </w:r>
    </w:p>
    <w:p w14:paraId="58CCF7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2、项目名称：</w:t>
      </w:r>
      <w:r>
        <w:rPr>
          <w:rFonts w:hint="eastAsia" w:ascii="宋体" w:hAnsi="宋体" w:eastAsia="宋体" w:cs="宋体"/>
          <w:color w:val="auto"/>
          <w:kern w:val="0"/>
          <w:sz w:val="24"/>
          <w:szCs w:val="24"/>
          <w:highlight w:val="none"/>
          <w:lang w:eastAsia="zh-CN"/>
        </w:rPr>
        <w:t>赤水市中医医院医养结合服务能力提升项目设备采购</w:t>
      </w:r>
    </w:p>
    <w:p w14:paraId="1BD79B9F">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宋体" w:hAnsi="宋体" w:eastAsia="宋体" w:cs="宋体"/>
          <w:color w:val="auto"/>
          <w:highlight w:val="none"/>
          <w:u w:val="single"/>
          <w:lang w:val="en-US" w:eastAsia="zh-CN"/>
        </w:rPr>
      </w:pPr>
      <w:r>
        <w:rPr>
          <w:rFonts w:hint="eastAsia" w:ascii="宋体" w:hAnsi="宋体" w:eastAsia="宋体" w:cs="宋体"/>
          <w:color w:val="auto"/>
          <w:kern w:val="0"/>
          <w:sz w:val="24"/>
          <w:szCs w:val="24"/>
          <w:highlight w:val="none"/>
          <w:lang w:val="en-US" w:eastAsia="zh-CN"/>
        </w:rPr>
        <w:t>3、预算金额：2060000.00元</w:t>
      </w:r>
    </w:p>
    <w:p w14:paraId="084E0C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4、最高限价：2060000.00元</w:t>
      </w:r>
    </w:p>
    <w:p w14:paraId="65EA99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、采购需求：</w:t>
      </w:r>
      <w:r>
        <w:rPr>
          <w:rFonts w:hint="eastAsia" w:ascii="宋体" w:hAnsi="宋体" w:eastAsia="宋体" w:cs="宋体"/>
          <w:color w:val="auto"/>
          <w:kern w:val="0"/>
          <w:sz w:val="24"/>
          <w:szCs w:val="24"/>
          <w:highlight w:val="none"/>
          <w:lang w:val="en-US" w:eastAsia="zh-CN"/>
        </w:rPr>
        <w:t>医疗设备1批。</w:t>
      </w:r>
    </w:p>
    <w:p w14:paraId="12EBF0DF">
      <w:pPr>
        <w:pStyle w:val="7"/>
        <w:spacing w:line="360" w:lineRule="auto"/>
        <w:rPr>
          <w:rFonts w:hint="eastAsia" w:ascii="宋体" w:hAnsi="宋体" w:eastAsia="宋体" w:cs="宋体"/>
          <w:color w:val="auto"/>
          <w:sz w:val="24"/>
          <w:szCs w:val="24"/>
          <w:highlight w:val="none"/>
          <w:lang w:eastAsia="zh-CN"/>
        </w:rPr>
      </w:pPr>
    </w:p>
    <w:p w14:paraId="4EEF2999">
      <w:pPr>
        <w:pStyle w:val="3"/>
        <w:numPr>
          <w:ilvl w:val="0"/>
          <w:numId w:val="0"/>
        </w:numPr>
        <w:spacing w:before="0" w:line="360" w:lineRule="auto"/>
        <w:ind w:left="0" w:leftChars="0" w:firstLine="420" w:firstLineChars="0"/>
        <w:rPr>
          <w:rFonts w:hint="eastAsia" w:ascii="宋体" w:hAnsi="宋体" w:eastAsia="宋体" w:cs="宋体"/>
          <w:color w:val="auto"/>
          <w:sz w:val="28"/>
          <w:szCs w:val="28"/>
          <w:highlight w:val="none"/>
        </w:rPr>
      </w:pPr>
      <w:bookmarkStart w:id="2" w:name="_Toc28359003"/>
      <w:bookmarkStart w:id="3" w:name="_Toc35393791"/>
      <w:bookmarkStart w:id="4" w:name="_Toc35393622"/>
      <w:bookmarkStart w:id="5" w:name="_Toc17024"/>
      <w:bookmarkStart w:id="6" w:name="_Toc30382"/>
      <w:bookmarkStart w:id="7" w:name="_Toc28359080"/>
      <w:r>
        <w:rPr>
          <w:rFonts w:hint="eastAsia" w:ascii="宋体" w:hAnsi="宋体" w:eastAsia="宋体" w:cs="宋体"/>
          <w:b/>
          <w:color w:val="auto"/>
          <w:kern w:val="0"/>
          <w:sz w:val="28"/>
          <w:szCs w:val="28"/>
          <w:highlight w:val="none"/>
          <w:lang w:val="en-US" w:eastAsia="zh-CN" w:bidi="ar-SA"/>
        </w:rPr>
        <w:t>二、</w:t>
      </w:r>
      <w:r>
        <w:rPr>
          <w:rFonts w:hint="eastAsia" w:ascii="宋体" w:hAnsi="宋体" w:eastAsia="宋体" w:cs="宋体"/>
          <w:color w:val="auto"/>
          <w:sz w:val="28"/>
          <w:szCs w:val="28"/>
          <w:highlight w:val="none"/>
        </w:rPr>
        <w:t>资格要求</w:t>
      </w:r>
      <w:bookmarkEnd w:id="2"/>
      <w:bookmarkEnd w:id="3"/>
      <w:bookmarkEnd w:id="4"/>
      <w:bookmarkEnd w:id="5"/>
      <w:bookmarkEnd w:id="6"/>
      <w:bookmarkEnd w:id="7"/>
    </w:p>
    <w:p w14:paraId="76F9190E">
      <w:pPr>
        <w:keepNext w:val="0"/>
        <w:keepLines w:val="0"/>
        <w:pageBreakBefore w:val="0"/>
        <w:kinsoku/>
        <w:wordWrap/>
        <w:overflowPunct/>
        <w:topLinePunct w:val="0"/>
        <w:autoSpaceDE/>
        <w:autoSpaceDN/>
        <w:bidi w:val="0"/>
        <w:snapToGrid/>
        <w:spacing w:line="360" w:lineRule="auto"/>
        <w:ind w:firstLine="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u w:val="none"/>
          <w:lang w:val="en-US" w:eastAsia="zh-CN"/>
        </w:rPr>
        <w:t>1、符合《中华人民共和国政府采购法》第二十二条资格要求，提供以下材料：</w:t>
      </w:r>
      <w:r>
        <w:rPr>
          <w:rFonts w:hint="eastAsia" w:ascii="宋体" w:hAnsi="宋体" w:eastAsia="宋体" w:cs="宋体"/>
          <w:sz w:val="24"/>
          <w:szCs w:val="24"/>
          <w:highlight w:val="none"/>
          <w:lang w:val="en-US" w:eastAsia="zh-CN"/>
        </w:rPr>
        <w:t>①具有独立承担民事责任的能力：提供法人或其他组织的营业执照等证明文件扫描件；②具有良好的商业信誉和健全的财务会计制度：提供“经会计师事务所审计完整签字的2024年度或2025年度财务报告（附会计师事务所执业证书和注册会计师证书）”扫描件或“2026年银行出具的资信证明”扫描件；③具有履行合同所必需的设备和专业技术能力：提供具备履行合同所必需的设备和专业技术能力的承诺函扫描件（固定格式）；④具有依法缴纳税收的良好记录：提供税（费）款所属时期为2026年3月（不含）至今任意三个月缴纳税收凭证原件扫描件（依法免税的提供免税证明；依法不需要缴纳税收或成立不满三个月的提供项目采购公告发布时间后出具的无欠税证明）；⑤具有依法缴纳社会保障资金的良好记录：提供税（费）款所属时期为2026年3月（不含）至今任意三个月缴纳社会保障资金凭据原件扫描件（依法不需要缴纳社保资金的须提供相应证明材料，公司成立不满三个月的提供成立至投标截止日应当缴纳月份的社保凭证）；⑥参加政府采购活动前3年内在经营活动中没有重大违法记录的书面声明扫描件（固定格式）。</w:t>
      </w:r>
    </w:p>
    <w:p w14:paraId="6C4C856B">
      <w:pPr>
        <w:keepNext w:val="0"/>
        <w:keepLines w:val="0"/>
        <w:pageBreakBefore w:val="0"/>
        <w:kinsoku/>
        <w:wordWrap/>
        <w:overflowPunct/>
        <w:topLinePunct w:val="0"/>
        <w:autoSpaceDE/>
        <w:autoSpaceDN/>
        <w:bidi w:val="0"/>
        <w:snapToGrid/>
        <w:spacing w:line="360" w:lineRule="auto"/>
        <w:ind w:firstLine="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u w:val="none"/>
          <w:lang w:val="en-US" w:eastAsia="zh-CN"/>
        </w:rPr>
        <w:t>2、</w:t>
      </w:r>
      <w:r>
        <w:rPr>
          <w:rFonts w:hint="eastAsia" w:ascii="宋体" w:hAnsi="宋体" w:eastAsia="宋体" w:cs="宋体"/>
          <w:b/>
          <w:bCs/>
          <w:kern w:val="0"/>
          <w:sz w:val="24"/>
          <w:szCs w:val="24"/>
          <w:highlight w:val="none"/>
        </w:rPr>
        <w:t>诚信资格要求：</w:t>
      </w:r>
      <w:r>
        <w:rPr>
          <w:rFonts w:hint="eastAsia" w:ascii="宋体" w:hAnsi="宋体" w:eastAsia="宋体" w:cs="宋体"/>
          <w:sz w:val="24"/>
          <w:szCs w:val="24"/>
          <w:highlight w:val="none"/>
          <w:lang w:val="en-US" w:eastAsia="zh-CN"/>
        </w:rPr>
        <w:t>投标人提供未被列入失信被执行人、重大税收违法失信主体、政府采购严重违法失信行为记录名单的承诺函扫描件（固定格式）。资格审查时代理机构或采购人在“信用中国”网站（包括失信被执行人、重大税收违法失信主体）、中国政府采购网（政府采购严重违法失信行为记录名单）上查询（查询时间为投标截止时间后30分钟内）验证。</w:t>
      </w:r>
    </w:p>
    <w:p w14:paraId="59F424A9">
      <w:pPr>
        <w:keepNext w:val="0"/>
        <w:keepLines w:val="0"/>
        <w:pageBreakBefore w:val="0"/>
        <w:widowControl/>
        <w:kinsoku/>
        <w:wordWrap/>
        <w:overflowPunct/>
        <w:topLinePunct w:val="0"/>
        <w:autoSpaceDE/>
        <w:autoSpaceDN/>
        <w:bidi w:val="0"/>
        <w:snapToGrid/>
        <w:spacing w:line="360" w:lineRule="auto"/>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kern w:val="2"/>
          <w:sz w:val="24"/>
          <w:szCs w:val="24"/>
          <w:highlight w:val="none"/>
          <w:u w:val="none"/>
          <w:lang w:val="en-US" w:eastAsia="zh-CN" w:bidi="ar-SA"/>
        </w:rPr>
        <w:t>3、本项目的特定资格要求：</w:t>
      </w:r>
      <w:r>
        <w:rPr>
          <w:rFonts w:hint="eastAsia" w:ascii="宋体" w:hAnsi="宋体" w:eastAsia="宋体" w:cs="宋体"/>
          <w:color w:val="auto"/>
          <w:sz w:val="24"/>
          <w:szCs w:val="24"/>
          <w:highlight w:val="none"/>
          <w:lang w:val="en-US" w:eastAsia="zh-CN"/>
        </w:rPr>
        <w:t>供应商为代理商须提供：有效的医疗器械经营许可证（范围覆盖投标产品）或备案凭证（范围覆盖投标产品）扫描件；供应商为制造商须提供：医疗器械生产许可证 (生产范围覆盖投标产品)或生产备案凭证(生产范围覆盖投标产品)扫描件。</w:t>
      </w:r>
    </w:p>
    <w:p w14:paraId="053F06D1">
      <w:pPr>
        <w:keepNext w:val="0"/>
        <w:keepLines w:val="0"/>
        <w:pageBreakBefore w:val="0"/>
        <w:widowControl/>
        <w:kinsoku/>
        <w:wordWrap/>
        <w:overflowPunct/>
        <w:topLinePunct w:val="0"/>
        <w:autoSpaceDE/>
        <w:autoSpaceDN/>
        <w:bidi w:val="0"/>
        <w:adjustRightInd/>
        <w:snapToGrid/>
        <w:spacing w:before="0" w:beforeLines="-2147483648" w:line="360" w:lineRule="auto"/>
        <w:ind w:firstLine="420" w:firstLineChars="0"/>
        <w:textAlignment w:val="auto"/>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u w:val="none"/>
          <w:lang w:val="en-US" w:eastAsia="zh-CN" w:bidi="ar-SA"/>
        </w:rPr>
        <w:t>4、</w:t>
      </w:r>
      <w:r>
        <w:rPr>
          <w:rFonts w:hint="eastAsia" w:ascii="宋体" w:hAnsi="宋体" w:eastAsia="宋体" w:cs="宋体"/>
          <w:b/>
          <w:bCs/>
          <w:color w:val="auto"/>
          <w:kern w:val="2"/>
          <w:sz w:val="24"/>
          <w:szCs w:val="24"/>
          <w:highlight w:val="none"/>
          <w:lang w:val="en-US" w:eastAsia="zh-CN" w:bidi="ar-SA"/>
        </w:rPr>
        <w:t>其他资格要求：</w:t>
      </w:r>
      <w:r>
        <w:rPr>
          <w:rFonts w:hint="eastAsia" w:ascii="宋体" w:hAnsi="宋体" w:eastAsia="宋体" w:cs="宋体"/>
          <w:b w:val="0"/>
          <w:bCs w:val="0"/>
          <w:color w:val="auto"/>
          <w:kern w:val="2"/>
          <w:sz w:val="24"/>
          <w:szCs w:val="24"/>
          <w:highlight w:val="none"/>
          <w:lang w:val="en-US" w:eastAsia="zh-CN" w:bidi="ar-SA"/>
        </w:rPr>
        <w:t>（1）供应商提供承诺函（固定格式），自行承诺不存在以下情形：①单位负责人为同一人或者存在直接控股、管理关系的不同供应商不得同时参加本项目；②为本项目提供过整体设计、规范编制或者项目管理、监理、检测等服务的供应商，不得再参加本项目；（2）本项目不允许联合体投标；（3）按招标文件要求缴纳投标保证金；（4）法定代表人身份证明；（5）法定代表人授权委托书（委托代理人投标时须提供）。</w:t>
      </w:r>
    </w:p>
    <w:p w14:paraId="27B40E5B">
      <w:pPr>
        <w:keepNext w:val="0"/>
        <w:keepLines w:val="0"/>
        <w:pageBreakBefore w:val="0"/>
        <w:widowControl/>
        <w:kinsoku/>
        <w:wordWrap/>
        <w:overflowPunct/>
        <w:topLinePunct w:val="0"/>
        <w:autoSpaceDE/>
        <w:autoSpaceDN/>
        <w:bidi w:val="0"/>
        <w:adjustRightInd/>
        <w:snapToGrid/>
        <w:spacing w:before="0" w:beforeLines="-2147483648" w:line="360" w:lineRule="auto"/>
        <w:ind w:firstLine="420" w:firstLineChars="0"/>
        <w:textAlignment w:val="auto"/>
        <w:rPr>
          <w:rFonts w:hint="default" w:ascii="宋体" w:hAnsi="宋体" w:eastAsia="宋体" w:cs="宋体"/>
          <w:b w:val="0"/>
          <w:bCs w:val="0"/>
          <w:color w:val="auto"/>
          <w:kern w:val="2"/>
          <w:sz w:val="24"/>
          <w:szCs w:val="24"/>
          <w:highlight w:val="none"/>
          <w:lang w:val="en-US" w:eastAsia="zh-CN" w:bidi="ar-SA"/>
        </w:rPr>
      </w:pPr>
    </w:p>
    <w:p w14:paraId="79A6EC00">
      <w:pPr>
        <w:rPr>
          <w:rFonts w:hint="eastAsia" w:ascii="宋体" w:hAnsi="宋体" w:eastAsia="宋体" w:cs="宋体"/>
          <w:b/>
          <w:color w:val="auto"/>
          <w:kern w:val="0"/>
          <w:sz w:val="28"/>
          <w:szCs w:val="28"/>
          <w:highlight w:val="none"/>
          <w:lang w:val="en-US" w:eastAsia="zh-CN" w:bidi="ar-SA"/>
        </w:rPr>
      </w:pPr>
      <w:r>
        <w:rPr>
          <w:rFonts w:hint="eastAsia" w:ascii="宋体" w:hAnsi="宋体" w:eastAsia="宋体" w:cs="宋体"/>
          <w:b/>
          <w:color w:val="auto"/>
          <w:kern w:val="0"/>
          <w:sz w:val="28"/>
          <w:szCs w:val="28"/>
          <w:highlight w:val="none"/>
          <w:lang w:val="en-US" w:eastAsia="zh-CN" w:bidi="ar-SA"/>
        </w:rPr>
        <w:br w:type="page"/>
      </w:r>
    </w:p>
    <w:p w14:paraId="4F4A60E6">
      <w:pPr>
        <w:pStyle w:val="3"/>
        <w:numPr>
          <w:ilvl w:val="0"/>
          <w:numId w:val="0"/>
        </w:numPr>
        <w:spacing w:before="0" w:line="360" w:lineRule="auto"/>
        <w:ind w:left="0" w:leftChars="0" w:firstLine="420" w:firstLineChars="0"/>
        <w:rPr>
          <w:rFonts w:hint="eastAsia" w:ascii="宋体" w:hAnsi="宋体" w:eastAsia="宋体" w:cs="宋体"/>
          <w:b/>
          <w:bCs/>
          <w:color w:val="auto"/>
          <w:kern w:val="2"/>
          <w:sz w:val="28"/>
          <w:szCs w:val="28"/>
          <w:highlight w:val="none"/>
          <w:lang w:val="en-US" w:eastAsia="zh-CN" w:bidi="ar"/>
        </w:rPr>
      </w:pPr>
      <w:r>
        <w:rPr>
          <w:rFonts w:hint="eastAsia" w:ascii="宋体" w:hAnsi="宋体" w:eastAsia="宋体" w:cs="宋体"/>
          <w:b/>
          <w:bCs/>
          <w:color w:val="auto"/>
          <w:kern w:val="2"/>
          <w:sz w:val="28"/>
          <w:szCs w:val="28"/>
          <w:highlight w:val="none"/>
          <w:lang w:val="en-US" w:eastAsia="zh-CN" w:bidi="ar"/>
        </w:rPr>
        <w:t>三、采购清单、技术参数及商务要求</w:t>
      </w:r>
    </w:p>
    <w:p w14:paraId="2A1C3C5D">
      <w:pPr>
        <w:pStyle w:val="3"/>
        <w:numPr>
          <w:ilvl w:val="0"/>
          <w:numId w:val="0"/>
        </w:numPr>
        <w:jc w:val="left"/>
        <w:rPr>
          <w:rFonts w:hint="eastAsia" w:ascii="宋体" w:hAnsi="宋体" w:eastAsia="宋体" w:cs="宋体"/>
          <w:color w:val="auto"/>
          <w:sz w:val="21"/>
          <w:szCs w:val="21"/>
          <w:highlight w:val="none"/>
          <w:lang w:eastAsia="zh-CN"/>
        </w:rPr>
      </w:pPr>
      <w:bookmarkStart w:id="8" w:name="_Toc1702"/>
      <w:bookmarkStart w:id="9" w:name="_Toc17048"/>
      <w:bookmarkStart w:id="10" w:name="_Toc10277"/>
      <w:bookmarkStart w:id="11" w:name="_Toc32596"/>
      <w:r>
        <w:rPr>
          <w:rFonts w:hint="eastAsia" w:ascii="宋体" w:hAnsi="宋体" w:eastAsia="宋体" w:cs="宋体"/>
          <w:color w:val="auto"/>
          <w:sz w:val="21"/>
          <w:szCs w:val="21"/>
          <w:highlight w:val="none"/>
          <w:lang w:val="en-US" w:eastAsia="zh-CN"/>
        </w:rPr>
        <w:t>一、</w:t>
      </w:r>
      <w:bookmarkEnd w:id="8"/>
      <w:bookmarkEnd w:id="9"/>
      <w:bookmarkEnd w:id="10"/>
      <w:bookmarkEnd w:id="11"/>
      <w:r>
        <w:rPr>
          <w:rFonts w:hint="eastAsia" w:ascii="宋体" w:hAnsi="宋体" w:eastAsia="宋体" w:cs="宋体"/>
          <w:color w:val="auto"/>
          <w:sz w:val="21"/>
          <w:szCs w:val="21"/>
          <w:highlight w:val="none"/>
          <w:lang w:eastAsia="zh-CN"/>
        </w:rPr>
        <w:t>采购清单</w:t>
      </w:r>
    </w:p>
    <w:tbl>
      <w:tblPr>
        <w:tblStyle w:val="17"/>
        <w:tblW w:w="8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4001"/>
        <w:gridCol w:w="1516"/>
        <w:gridCol w:w="1416"/>
      </w:tblGrid>
      <w:tr w14:paraId="6A28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jc w:val="center"/>
        </w:trPr>
        <w:tc>
          <w:tcPr>
            <w:tcW w:w="1098" w:type="dxa"/>
            <w:noWrap w:val="0"/>
            <w:vAlign w:val="center"/>
          </w:tcPr>
          <w:p w14:paraId="74EF8AD6">
            <w:pPr>
              <w:widowControl/>
              <w:spacing w:line="240" w:lineRule="auto"/>
              <w:jc w:val="center"/>
              <w:rPr>
                <w:rFonts w:hint="default"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序号</w:t>
            </w:r>
          </w:p>
        </w:tc>
        <w:tc>
          <w:tcPr>
            <w:tcW w:w="4001" w:type="dxa"/>
            <w:noWrap w:val="0"/>
            <w:vAlign w:val="center"/>
          </w:tcPr>
          <w:p w14:paraId="4D37D785">
            <w:pPr>
              <w:widowControl/>
              <w:spacing w:line="240" w:lineRule="auto"/>
              <w:jc w:val="center"/>
              <w:rPr>
                <w:rFonts w:hint="eastAsia" w:ascii="宋体" w:hAnsi="宋体" w:eastAsia="宋体" w:cs="宋体"/>
                <w:b/>
                <w:color w:val="auto"/>
                <w:kern w:val="2"/>
                <w:sz w:val="21"/>
                <w:szCs w:val="21"/>
                <w:highlight w:val="none"/>
                <w:lang w:val="en-US" w:eastAsia="zh-CN" w:bidi="ar-SA"/>
              </w:rPr>
            </w:pPr>
            <w:r>
              <w:rPr>
                <w:rFonts w:hint="eastAsia" w:ascii="宋体" w:hAnsi="宋体" w:cs="宋体"/>
                <w:b/>
                <w:color w:val="auto"/>
                <w:sz w:val="21"/>
                <w:szCs w:val="21"/>
                <w:highlight w:val="none"/>
                <w:lang w:val="en-US" w:eastAsia="zh-CN"/>
              </w:rPr>
              <w:t>产品名称</w:t>
            </w:r>
          </w:p>
        </w:tc>
        <w:tc>
          <w:tcPr>
            <w:tcW w:w="1516" w:type="dxa"/>
            <w:noWrap w:val="0"/>
            <w:vAlign w:val="center"/>
          </w:tcPr>
          <w:p w14:paraId="62FC790A">
            <w:pPr>
              <w:widowControl/>
              <w:spacing w:line="240" w:lineRule="auto"/>
              <w:jc w:val="center"/>
              <w:rPr>
                <w:rFonts w:hint="eastAsia" w:ascii="Times New Roman" w:hAnsi="Times New Roman" w:eastAsia="宋体" w:cs="Times New Roman"/>
                <w:kern w:val="2"/>
                <w:sz w:val="21"/>
                <w:szCs w:val="21"/>
                <w:highlight w:val="none"/>
                <w:vertAlign w:val="baseline"/>
                <w:lang w:val="en-US" w:eastAsia="zh-CN" w:bidi="ar-SA"/>
              </w:rPr>
            </w:pPr>
            <w:r>
              <w:rPr>
                <w:rFonts w:hint="eastAsia" w:ascii="宋体" w:hAnsi="宋体" w:eastAsia="宋体" w:cs="宋体"/>
                <w:b/>
                <w:color w:val="auto"/>
                <w:sz w:val="21"/>
                <w:szCs w:val="21"/>
                <w:highlight w:val="none"/>
                <w:lang w:val="en-US" w:eastAsia="zh-CN"/>
              </w:rPr>
              <w:t>数量</w:t>
            </w:r>
          </w:p>
        </w:tc>
        <w:tc>
          <w:tcPr>
            <w:tcW w:w="1416" w:type="dxa"/>
            <w:noWrap w:val="0"/>
            <w:vAlign w:val="center"/>
          </w:tcPr>
          <w:p w14:paraId="0FE648C3">
            <w:pPr>
              <w:widowControl/>
              <w:spacing w:line="240" w:lineRule="auto"/>
              <w:jc w:val="center"/>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sz w:val="21"/>
                <w:szCs w:val="21"/>
                <w:highlight w:val="none"/>
                <w:lang w:val="en-US" w:eastAsia="zh-CN"/>
              </w:rPr>
              <w:t>备注</w:t>
            </w:r>
          </w:p>
        </w:tc>
      </w:tr>
      <w:tr w14:paraId="261B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140E430C">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598F4CE9">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多功能护理病床</w:t>
            </w:r>
          </w:p>
        </w:tc>
        <w:tc>
          <w:tcPr>
            <w:tcW w:w="1516" w:type="dxa"/>
            <w:noWrap w:val="0"/>
            <w:vAlign w:val="center"/>
          </w:tcPr>
          <w:p w14:paraId="7EADC665">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60张</w:t>
            </w:r>
          </w:p>
        </w:tc>
        <w:tc>
          <w:tcPr>
            <w:tcW w:w="1416" w:type="dxa"/>
            <w:noWrap w:val="0"/>
            <w:vAlign w:val="center"/>
          </w:tcPr>
          <w:p w14:paraId="45F33BD7">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r>
      <w:tr w14:paraId="25C5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1ABB42C4">
            <w:pPr>
              <w:keepNext w:val="0"/>
              <w:keepLines w:val="0"/>
              <w:widowControl/>
              <w:numPr>
                <w:ilvl w:val="0"/>
                <w:numId w:val="2"/>
              </w:numPr>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3E5DFD86">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防压疮气床垫</w:t>
            </w:r>
          </w:p>
        </w:tc>
        <w:tc>
          <w:tcPr>
            <w:tcW w:w="1516" w:type="dxa"/>
            <w:noWrap w:val="0"/>
            <w:vAlign w:val="center"/>
          </w:tcPr>
          <w:p w14:paraId="76B283F5">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30张</w:t>
            </w:r>
          </w:p>
        </w:tc>
        <w:tc>
          <w:tcPr>
            <w:tcW w:w="1416" w:type="dxa"/>
            <w:noWrap w:val="0"/>
            <w:vAlign w:val="center"/>
          </w:tcPr>
          <w:p w14:paraId="492FAE8A">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5084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60E4A15C">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22C9DABA">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电动排痰器仪</w:t>
            </w:r>
          </w:p>
        </w:tc>
        <w:tc>
          <w:tcPr>
            <w:tcW w:w="1516" w:type="dxa"/>
            <w:noWrap w:val="0"/>
            <w:vAlign w:val="center"/>
          </w:tcPr>
          <w:p w14:paraId="6509363C">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2BA425ED">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7BB1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1064942E">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595A3093">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彩色多普勒超声诊断仪</w:t>
            </w:r>
          </w:p>
        </w:tc>
        <w:tc>
          <w:tcPr>
            <w:tcW w:w="1516" w:type="dxa"/>
            <w:noWrap w:val="0"/>
            <w:vAlign w:val="center"/>
          </w:tcPr>
          <w:p w14:paraId="44B4879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1套</w:t>
            </w:r>
          </w:p>
        </w:tc>
        <w:tc>
          <w:tcPr>
            <w:tcW w:w="1416" w:type="dxa"/>
            <w:noWrap w:val="0"/>
            <w:vAlign w:val="center"/>
          </w:tcPr>
          <w:p w14:paraId="62498AC2">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核心产品</w:t>
            </w:r>
          </w:p>
        </w:tc>
      </w:tr>
      <w:tr w14:paraId="3C89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51D207C5">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78D5697A">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医用冷藏箱</w:t>
            </w:r>
          </w:p>
        </w:tc>
        <w:tc>
          <w:tcPr>
            <w:tcW w:w="1516" w:type="dxa"/>
            <w:noWrap w:val="0"/>
            <w:vAlign w:val="center"/>
          </w:tcPr>
          <w:p w14:paraId="774B82C9">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0F72AE60">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BCD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79546812">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041A2D09">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巡诊箱</w:t>
            </w:r>
          </w:p>
        </w:tc>
        <w:tc>
          <w:tcPr>
            <w:tcW w:w="1516" w:type="dxa"/>
            <w:noWrap w:val="0"/>
            <w:vAlign w:val="center"/>
          </w:tcPr>
          <w:p w14:paraId="046CE03A">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1个</w:t>
            </w:r>
          </w:p>
        </w:tc>
        <w:tc>
          <w:tcPr>
            <w:tcW w:w="1416" w:type="dxa"/>
            <w:noWrap w:val="0"/>
            <w:vAlign w:val="center"/>
          </w:tcPr>
          <w:p w14:paraId="789385E8">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0A61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45B0A942">
            <w:pPr>
              <w:keepNext w:val="0"/>
              <w:keepLines w:val="0"/>
              <w:widowControl/>
              <w:numPr>
                <w:ilvl w:val="0"/>
                <w:numId w:val="2"/>
              </w:numPr>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62D342E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特定电磁波治疗器</w:t>
            </w:r>
          </w:p>
        </w:tc>
        <w:tc>
          <w:tcPr>
            <w:tcW w:w="1516" w:type="dxa"/>
            <w:noWrap w:val="0"/>
            <w:vAlign w:val="center"/>
          </w:tcPr>
          <w:p w14:paraId="2D7F2E83">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2台</w:t>
            </w:r>
          </w:p>
        </w:tc>
        <w:tc>
          <w:tcPr>
            <w:tcW w:w="1416" w:type="dxa"/>
            <w:noWrap w:val="0"/>
            <w:vAlign w:val="center"/>
          </w:tcPr>
          <w:p w14:paraId="41EF4374">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6BBC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6496EAB2">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71161C8B">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中药熏蒸治疗仪</w:t>
            </w:r>
          </w:p>
        </w:tc>
        <w:tc>
          <w:tcPr>
            <w:tcW w:w="1516" w:type="dxa"/>
            <w:noWrap w:val="0"/>
            <w:vAlign w:val="center"/>
          </w:tcPr>
          <w:p w14:paraId="6251F74F">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3台</w:t>
            </w:r>
          </w:p>
        </w:tc>
        <w:tc>
          <w:tcPr>
            <w:tcW w:w="1416" w:type="dxa"/>
            <w:noWrap w:val="0"/>
            <w:vAlign w:val="center"/>
          </w:tcPr>
          <w:p w14:paraId="58813563">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1D47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4A1686DF">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163DAF5C">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电子轮椅体重秤</w:t>
            </w:r>
          </w:p>
        </w:tc>
        <w:tc>
          <w:tcPr>
            <w:tcW w:w="1516" w:type="dxa"/>
            <w:noWrap w:val="0"/>
            <w:vAlign w:val="center"/>
          </w:tcPr>
          <w:p w14:paraId="5B56907E">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41BE6A90">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19013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65637866">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33BBB9A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关节活动度评定设备</w:t>
            </w:r>
          </w:p>
        </w:tc>
        <w:tc>
          <w:tcPr>
            <w:tcW w:w="1516" w:type="dxa"/>
            <w:noWrap w:val="0"/>
            <w:vAlign w:val="center"/>
          </w:tcPr>
          <w:p w14:paraId="3713F50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1套</w:t>
            </w:r>
          </w:p>
        </w:tc>
        <w:tc>
          <w:tcPr>
            <w:tcW w:w="1416" w:type="dxa"/>
            <w:noWrap w:val="0"/>
            <w:vAlign w:val="center"/>
          </w:tcPr>
          <w:p w14:paraId="7D9A6264">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081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4C32A2BF">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23C5CDC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等速训练仪</w:t>
            </w:r>
          </w:p>
        </w:tc>
        <w:tc>
          <w:tcPr>
            <w:tcW w:w="1516" w:type="dxa"/>
            <w:noWrap w:val="0"/>
            <w:vAlign w:val="center"/>
          </w:tcPr>
          <w:p w14:paraId="5F32D989">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6A5B6CA9">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6B9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7641B165">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66A97AA8">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床边下肢康复机</w:t>
            </w:r>
          </w:p>
        </w:tc>
        <w:tc>
          <w:tcPr>
            <w:tcW w:w="1516" w:type="dxa"/>
            <w:noWrap w:val="0"/>
            <w:vAlign w:val="center"/>
          </w:tcPr>
          <w:p w14:paraId="6E2D917B">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13CC5682">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E34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17307C60">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0AB42488">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步态训练器</w:t>
            </w:r>
          </w:p>
        </w:tc>
        <w:tc>
          <w:tcPr>
            <w:tcW w:w="1516" w:type="dxa"/>
            <w:noWrap w:val="0"/>
            <w:vAlign w:val="center"/>
          </w:tcPr>
          <w:p w14:paraId="29EB4D84">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1套</w:t>
            </w:r>
          </w:p>
        </w:tc>
        <w:tc>
          <w:tcPr>
            <w:tcW w:w="1416" w:type="dxa"/>
            <w:noWrap w:val="0"/>
            <w:vAlign w:val="center"/>
          </w:tcPr>
          <w:p w14:paraId="094BC40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6A65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3E446580">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54B0D7BE">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平衡训练设备</w:t>
            </w:r>
          </w:p>
        </w:tc>
        <w:tc>
          <w:tcPr>
            <w:tcW w:w="1516" w:type="dxa"/>
            <w:noWrap w:val="0"/>
            <w:vAlign w:val="center"/>
          </w:tcPr>
          <w:p w14:paraId="782ABD9B">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1套</w:t>
            </w:r>
          </w:p>
        </w:tc>
        <w:tc>
          <w:tcPr>
            <w:tcW w:w="1416" w:type="dxa"/>
            <w:noWrap w:val="0"/>
            <w:vAlign w:val="center"/>
          </w:tcPr>
          <w:p w14:paraId="10E2D399">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5C2A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7E394123">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2F8467B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default" w:ascii="宋体" w:hAnsi="宋体" w:eastAsia="宋体" w:cs="宋体"/>
                <w:i w:val="0"/>
                <w:iCs w:val="0"/>
                <w:color w:val="000000"/>
                <w:kern w:val="0"/>
                <w:sz w:val="21"/>
                <w:szCs w:val="21"/>
                <w:highlight w:val="none"/>
                <w:u w:val="none"/>
                <w:lang w:val="en-US" w:eastAsia="zh-CN" w:bidi="ar"/>
              </w:rPr>
              <w:t>干扰电治疗仪</w:t>
            </w:r>
          </w:p>
        </w:tc>
        <w:tc>
          <w:tcPr>
            <w:tcW w:w="1516" w:type="dxa"/>
            <w:noWrap w:val="0"/>
            <w:vAlign w:val="center"/>
          </w:tcPr>
          <w:p w14:paraId="6B11622B">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30337CC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72B8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5EEF6883">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58C0EE3D">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空气压力波治疗仪</w:t>
            </w:r>
          </w:p>
        </w:tc>
        <w:tc>
          <w:tcPr>
            <w:tcW w:w="1516" w:type="dxa"/>
            <w:noWrap w:val="0"/>
            <w:vAlign w:val="center"/>
          </w:tcPr>
          <w:p w14:paraId="37276378">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42C139A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1AC2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3EFB4394">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1C037B2D">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default" w:ascii="宋体" w:hAnsi="宋体" w:eastAsia="宋体" w:cs="宋体"/>
                <w:i w:val="0"/>
                <w:iCs w:val="0"/>
                <w:color w:val="000000"/>
                <w:kern w:val="0"/>
                <w:sz w:val="21"/>
                <w:szCs w:val="21"/>
                <w:highlight w:val="none"/>
                <w:u w:val="none"/>
                <w:lang w:val="en-US" w:eastAsia="zh-CN" w:bidi="ar"/>
              </w:rPr>
              <w:t>ADL训练类设备</w:t>
            </w:r>
          </w:p>
        </w:tc>
        <w:tc>
          <w:tcPr>
            <w:tcW w:w="1516" w:type="dxa"/>
            <w:noWrap w:val="0"/>
            <w:vAlign w:val="center"/>
          </w:tcPr>
          <w:p w14:paraId="753D149C">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1套</w:t>
            </w:r>
          </w:p>
        </w:tc>
        <w:tc>
          <w:tcPr>
            <w:tcW w:w="1416" w:type="dxa"/>
            <w:noWrap w:val="0"/>
            <w:vAlign w:val="center"/>
          </w:tcPr>
          <w:p w14:paraId="3540B96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7F91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4C512001">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2E0D08B8">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手功能训练设备(上肢综合训练器)</w:t>
            </w:r>
          </w:p>
        </w:tc>
        <w:tc>
          <w:tcPr>
            <w:tcW w:w="1516" w:type="dxa"/>
            <w:noWrap w:val="0"/>
            <w:vAlign w:val="center"/>
          </w:tcPr>
          <w:p w14:paraId="2230BFE2">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1套</w:t>
            </w:r>
          </w:p>
        </w:tc>
        <w:tc>
          <w:tcPr>
            <w:tcW w:w="1416" w:type="dxa"/>
            <w:noWrap w:val="0"/>
            <w:vAlign w:val="center"/>
          </w:tcPr>
          <w:p w14:paraId="32A67CE2">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7DF0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1F16CA09">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7C8B5A8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手功能训练设备(手指阶梯训练器)</w:t>
            </w:r>
          </w:p>
        </w:tc>
        <w:tc>
          <w:tcPr>
            <w:tcW w:w="1516" w:type="dxa"/>
            <w:noWrap w:val="0"/>
            <w:vAlign w:val="center"/>
          </w:tcPr>
          <w:p w14:paraId="6D8EF802">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55B8124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0911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74BEBD4D">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21FD04F9">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表面肌电分析反馈仪</w:t>
            </w:r>
          </w:p>
        </w:tc>
        <w:tc>
          <w:tcPr>
            <w:tcW w:w="1516" w:type="dxa"/>
            <w:noWrap w:val="0"/>
            <w:vAlign w:val="center"/>
          </w:tcPr>
          <w:p w14:paraId="5AF3196E">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3FBF572D">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24D9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1E6731A4">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1FE7C8CA">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default" w:ascii="宋体" w:hAnsi="宋体" w:eastAsia="宋体" w:cs="宋体"/>
                <w:i w:val="0"/>
                <w:iCs w:val="0"/>
                <w:color w:val="000000"/>
                <w:kern w:val="0"/>
                <w:sz w:val="21"/>
                <w:szCs w:val="21"/>
                <w:highlight w:val="none"/>
                <w:u w:val="none"/>
                <w:lang w:val="en-US" w:eastAsia="zh-CN" w:bidi="ar"/>
              </w:rPr>
              <w:t>认知能力测试与训练仪</w:t>
            </w:r>
          </w:p>
        </w:tc>
        <w:tc>
          <w:tcPr>
            <w:tcW w:w="1516" w:type="dxa"/>
            <w:noWrap w:val="0"/>
            <w:vAlign w:val="center"/>
          </w:tcPr>
          <w:p w14:paraId="546771B9">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7BFCA39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7B8C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0F41A29F">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7CC6FBD1">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default" w:ascii="宋体" w:hAnsi="宋体" w:eastAsia="宋体" w:cs="宋体"/>
                <w:i w:val="0"/>
                <w:iCs w:val="0"/>
                <w:color w:val="000000"/>
                <w:kern w:val="0"/>
                <w:sz w:val="21"/>
                <w:szCs w:val="21"/>
                <w:highlight w:val="none"/>
                <w:u w:val="none"/>
                <w:lang w:val="en-US" w:eastAsia="zh-CN" w:bidi="ar"/>
              </w:rPr>
              <w:t>可调节洗头车</w:t>
            </w:r>
          </w:p>
        </w:tc>
        <w:tc>
          <w:tcPr>
            <w:tcW w:w="1516" w:type="dxa"/>
            <w:noWrap w:val="0"/>
            <w:vAlign w:val="center"/>
          </w:tcPr>
          <w:p w14:paraId="5346C2FF">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3台</w:t>
            </w:r>
          </w:p>
        </w:tc>
        <w:tc>
          <w:tcPr>
            <w:tcW w:w="1416" w:type="dxa"/>
            <w:noWrap w:val="0"/>
            <w:vAlign w:val="center"/>
          </w:tcPr>
          <w:p w14:paraId="7F31FDE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843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3F84DF7F">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0B4E37BA">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default" w:ascii="宋体" w:hAnsi="宋体" w:eastAsia="宋体" w:cs="宋体"/>
                <w:i w:val="0"/>
                <w:iCs w:val="0"/>
                <w:color w:val="000000"/>
                <w:kern w:val="0"/>
                <w:sz w:val="21"/>
                <w:szCs w:val="21"/>
                <w:highlight w:val="none"/>
                <w:u w:val="none"/>
                <w:lang w:val="en-US" w:eastAsia="zh-CN" w:bidi="ar"/>
              </w:rPr>
              <w:t>移位机</w:t>
            </w:r>
          </w:p>
        </w:tc>
        <w:tc>
          <w:tcPr>
            <w:tcW w:w="1516" w:type="dxa"/>
            <w:noWrap w:val="0"/>
            <w:vAlign w:val="center"/>
          </w:tcPr>
          <w:p w14:paraId="6CF21F94">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1F0D52B6">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10A0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5258657E">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07BEF8D5">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default" w:ascii="宋体" w:hAnsi="宋体" w:eastAsia="宋体" w:cs="宋体"/>
                <w:i w:val="0"/>
                <w:iCs w:val="0"/>
                <w:color w:val="000000"/>
                <w:kern w:val="0"/>
                <w:sz w:val="21"/>
                <w:szCs w:val="21"/>
                <w:highlight w:val="none"/>
                <w:u w:val="none"/>
                <w:lang w:val="en-US" w:eastAsia="zh-CN" w:bidi="ar"/>
              </w:rPr>
              <w:t>骨密度智能分析仪</w:t>
            </w:r>
          </w:p>
        </w:tc>
        <w:tc>
          <w:tcPr>
            <w:tcW w:w="1516" w:type="dxa"/>
            <w:noWrap w:val="0"/>
            <w:vAlign w:val="center"/>
          </w:tcPr>
          <w:p w14:paraId="3082EF4B">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5CC5582B">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5C24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38963624">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06FE9B8B">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四肢联动康复训练仪（手动）</w:t>
            </w:r>
          </w:p>
        </w:tc>
        <w:tc>
          <w:tcPr>
            <w:tcW w:w="1516" w:type="dxa"/>
            <w:noWrap w:val="0"/>
            <w:vAlign w:val="center"/>
          </w:tcPr>
          <w:p w14:paraId="38384D22">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68A97F09">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7BC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77185FD5">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35D1B97C">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default" w:ascii="宋体" w:hAnsi="宋体" w:eastAsia="宋体" w:cs="宋体"/>
                <w:i w:val="0"/>
                <w:iCs w:val="0"/>
                <w:color w:val="000000"/>
                <w:kern w:val="0"/>
                <w:sz w:val="21"/>
                <w:szCs w:val="21"/>
                <w:highlight w:val="none"/>
                <w:u w:val="none"/>
                <w:lang w:val="en-US" w:eastAsia="zh-CN" w:bidi="ar"/>
              </w:rPr>
              <w:t>四肢联动康复训练仪（主被动）</w:t>
            </w:r>
          </w:p>
        </w:tc>
        <w:tc>
          <w:tcPr>
            <w:tcW w:w="1516" w:type="dxa"/>
            <w:noWrap w:val="0"/>
            <w:vAlign w:val="center"/>
          </w:tcPr>
          <w:p w14:paraId="0C037225">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538C320D">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0AE8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6FEB05B8">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0348ACC3">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default" w:ascii="宋体" w:hAnsi="宋体" w:eastAsia="宋体" w:cs="宋体"/>
                <w:i w:val="0"/>
                <w:iCs w:val="0"/>
                <w:color w:val="000000"/>
                <w:kern w:val="0"/>
                <w:sz w:val="21"/>
                <w:szCs w:val="21"/>
                <w:highlight w:val="none"/>
                <w:u w:val="none"/>
                <w:lang w:val="en-US" w:eastAsia="zh-CN" w:bidi="ar"/>
              </w:rPr>
              <w:t>起立床</w:t>
            </w:r>
          </w:p>
        </w:tc>
        <w:tc>
          <w:tcPr>
            <w:tcW w:w="1516" w:type="dxa"/>
            <w:noWrap w:val="0"/>
            <w:vAlign w:val="center"/>
          </w:tcPr>
          <w:p w14:paraId="04888AC0">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1台</w:t>
            </w:r>
          </w:p>
        </w:tc>
        <w:tc>
          <w:tcPr>
            <w:tcW w:w="1416" w:type="dxa"/>
            <w:noWrap w:val="0"/>
            <w:vAlign w:val="center"/>
          </w:tcPr>
          <w:p w14:paraId="761A248C">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EF0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8" w:type="dxa"/>
            <w:noWrap w:val="0"/>
            <w:vAlign w:val="center"/>
          </w:tcPr>
          <w:p w14:paraId="056E5AA4">
            <w:pPr>
              <w:keepNext w:val="0"/>
              <w:keepLines w:val="0"/>
              <w:widowControl/>
              <w:numPr>
                <w:ilvl w:val="0"/>
                <w:numId w:val="2"/>
              </w:numPr>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highlight w:val="none"/>
                <w:u w:val="none"/>
                <w:lang w:val="en-US" w:eastAsia="zh-CN" w:bidi="ar"/>
              </w:rPr>
            </w:pPr>
          </w:p>
        </w:tc>
        <w:tc>
          <w:tcPr>
            <w:tcW w:w="4001" w:type="dxa"/>
            <w:noWrap w:val="0"/>
            <w:vAlign w:val="center"/>
          </w:tcPr>
          <w:p w14:paraId="648F1B40">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default" w:ascii="宋体" w:hAnsi="宋体" w:eastAsia="宋体" w:cs="宋体"/>
                <w:i w:val="0"/>
                <w:iCs w:val="0"/>
                <w:color w:val="000000"/>
                <w:kern w:val="0"/>
                <w:sz w:val="21"/>
                <w:szCs w:val="21"/>
                <w:highlight w:val="none"/>
                <w:u w:val="none"/>
                <w:lang w:val="en-US" w:eastAsia="zh-CN" w:bidi="ar"/>
              </w:rPr>
              <w:t>老年人能力综合评估系统</w:t>
            </w:r>
          </w:p>
        </w:tc>
        <w:tc>
          <w:tcPr>
            <w:tcW w:w="1516" w:type="dxa"/>
            <w:noWrap w:val="0"/>
            <w:vAlign w:val="center"/>
          </w:tcPr>
          <w:p w14:paraId="447D1B9B">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1套</w:t>
            </w:r>
          </w:p>
        </w:tc>
        <w:tc>
          <w:tcPr>
            <w:tcW w:w="1416" w:type="dxa"/>
            <w:noWrap w:val="0"/>
            <w:vAlign w:val="center"/>
          </w:tcPr>
          <w:p w14:paraId="0D59B1D5">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r>
    </w:tbl>
    <w:p w14:paraId="4A608C16">
      <w:pPr>
        <w:widowControl/>
        <w:shd w:val="clear" w:color="auto" w:fill="FFFFFF"/>
        <w:spacing w:line="360" w:lineRule="auto"/>
        <w:jc w:val="left"/>
        <w:rPr>
          <w:rFonts w:hint="eastAsia" w:ascii="宋体" w:hAnsi="宋体" w:eastAsia="宋体" w:cs="Times New Roman"/>
          <w:b/>
          <w:bCs/>
          <w:color w:val="auto"/>
          <w:szCs w:val="21"/>
          <w:highlight w:val="none"/>
          <w:lang w:val="en-US" w:eastAsia="zh-CN"/>
        </w:rPr>
      </w:pPr>
    </w:p>
    <w:p w14:paraId="7C6CA34A">
      <w:pPr>
        <w:widowControl/>
        <w:shd w:val="clear" w:color="auto" w:fill="FFFFFF"/>
        <w:spacing w:line="360" w:lineRule="auto"/>
        <w:jc w:val="lef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注：1.“产品名称”仅是招标人对产品的习惯性称呼，并不针对某特定名称。招标人或招标代理机构欢迎投标人根据招标文件“二、技术参数要求”的基本要求，采用满足或优于要求的产品参加投标。</w:t>
      </w:r>
    </w:p>
    <w:p w14:paraId="5F90CA85">
      <w:pPr>
        <w:widowControl/>
        <w:numPr>
          <w:ilvl w:val="0"/>
          <w:numId w:val="0"/>
        </w:numPr>
        <w:shd w:val="clear" w:color="auto" w:fill="FFFFFF"/>
        <w:spacing w:line="360" w:lineRule="auto"/>
        <w:jc w:val="lef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2.投标人应注意投标的风险，认真阅读和理解招标文件，并应如实填写技术参数要求偏离表，若评标时评标委员会掌握了确切事实，没有如实填写技术参数要求偏离表或有虚假材料应标行为，该投标将被视作非实质性投标，作无效投标处理。</w:t>
      </w:r>
    </w:p>
    <w:p w14:paraId="720660E2">
      <w:pPr>
        <w:widowControl/>
        <w:numPr>
          <w:ilvl w:val="0"/>
          <w:numId w:val="0"/>
        </w:numPr>
        <w:shd w:val="clear" w:color="auto" w:fill="FFFFFF"/>
        <w:spacing w:line="360" w:lineRule="auto"/>
        <w:jc w:val="lef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3.若用户验收时发现任一产品未达到招标文件规定及投标文件响应，存在虚假应标情况，采购人有权拒绝验收和支付合同货款，将取消其中标资格，并赔偿所造成的损失及追究相应的法律责任。</w:t>
      </w:r>
    </w:p>
    <w:p w14:paraId="3E14DE16">
      <w:pPr>
        <w:keepNext w:val="0"/>
        <w:keepLines w:val="0"/>
        <w:pageBreakBefore w:val="0"/>
        <w:widowControl/>
        <w:numPr>
          <w:ilvl w:val="0"/>
          <w:numId w:val="0"/>
        </w:numPr>
        <w:shd w:val="clear" w:color="auto" w:fill="FFFFFF"/>
        <w:kinsoku/>
        <w:wordWrap/>
        <w:overflowPunct/>
        <w:topLinePunct w:val="0"/>
        <w:bidi w:val="0"/>
        <w:snapToGrid/>
        <w:spacing w:line="360" w:lineRule="auto"/>
        <w:outlineLvl w:val="1"/>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bCs/>
          <w:color w:val="auto"/>
          <w:szCs w:val="21"/>
          <w:highlight w:val="none"/>
          <w:lang w:val="en-US" w:eastAsia="zh-CN"/>
        </w:rPr>
        <w:br w:type="page"/>
      </w:r>
      <w:r>
        <w:rPr>
          <w:rFonts w:hint="eastAsia" w:ascii="宋体" w:hAnsi="宋体" w:eastAsia="宋体" w:cs="宋体"/>
          <w:b/>
          <w:bCs w:val="0"/>
          <w:color w:val="auto"/>
          <w:kern w:val="0"/>
          <w:sz w:val="21"/>
          <w:szCs w:val="21"/>
          <w:highlight w:val="none"/>
          <w:lang w:val="en-US" w:eastAsia="zh-CN"/>
        </w:rPr>
        <w:t>二、技术参数要求</w:t>
      </w:r>
    </w:p>
    <w:p w14:paraId="76FE69E9">
      <w:pPr>
        <w:pStyle w:val="26"/>
        <w:keepNext w:val="0"/>
        <w:keepLines w:val="0"/>
        <w:pageBreakBefore w:val="0"/>
        <w:kinsoku/>
        <w:wordWrap/>
        <w:overflowPunct/>
        <w:topLinePunct w:val="0"/>
        <w:bidi w:val="0"/>
        <w:snapToGrid/>
        <w:spacing w:line="360" w:lineRule="auto"/>
        <w:ind w:right="-483" w:rightChars="-230" w:firstLine="0" w:firstLineChars="0"/>
        <w:jc w:val="center"/>
        <w:rPr>
          <w:rFonts w:hint="eastAsia" w:ascii="宋体" w:hAnsi="宋体" w:eastAsia="宋体" w:cs="宋体"/>
          <w:b/>
          <w:bCs w:val="0"/>
          <w:color w:val="auto"/>
          <w:kern w:val="0"/>
          <w:sz w:val="21"/>
          <w:szCs w:val="21"/>
          <w:highlight w:val="none"/>
          <w:lang w:val="en-US" w:eastAsia="zh-CN" w:bidi="ar-SA"/>
        </w:rPr>
      </w:pPr>
    </w:p>
    <w:p w14:paraId="65DDBB4C">
      <w:pPr>
        <w:keepNext w:val="0"/>
        <w:keepLines w:val="0"/>
        <w:pageBreakBefore w:val="0"/>
        <w:widowControl/>
        <w:shd w:val="clear" w:color="auto" w:fill="FFFFFF"/>
        <w:kinsoku/>
        <w:wordWrap/>
        <w:overflowPunct/>
        <w:topLinePunct w:val="0"/>
        <w:bidi w:val="0"/>
        <w:snapToGrid/>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序号1、多功能护理病床</w:t>
      </w:r>
    </w:p>
    <w:p w14:paraId="6AEC13E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bCs/>
          <w:color w:val="auto"/>
          <w:kern w:val="2"/>
          <w:sz w:val="21"/>
          <w:szCs w:val="21"/>
          <w:highlight w:val="none"/>
          <w:lang w:val="en-US" w:eastAsia="zh-CN" w:bidi="ar-SA"/>
        </w:rPr>
        <w:t>1、规格尺寸：</w:t>
      </w:r>
      <w:r>
        <w:rPr>
          <w:rFonts w:hint="eastAsia" w:ascii="宋体" w:hAnsi="宋体" w:eastAsia="宋体" w:cs="Times New Roman"/>
          <w:b w:val="0"/>
          <w:bCs w:val="0"/>
          <w:color w:val="auto"/>
          <w:kern w:val="2"/>
          <w:sz w:val="21"/>
          <w:szCs w:val="21"/>
          <w:highlight w:val="none"/>
          <w:lang w:val="en-US" w:eastAsia="zh-CN" w:bidi="ar-SA"/>
        </w:rPr>
        <w:t>全长是2120mm±10mm(包括床头），全宽是1030mm±10mm（含护栏），不含床垫床面高度可在410-710mm之间电动调节。</w:t>
      </w:r>
    </w:p>
    <w:p w14:paraId="6B6E5D5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bCs/>
          <w:color w:val="auto"/>
          <w:kern w:val="2"/>
          <w:sz w:val="21"/>
          <w:szCs w:val="21"/>
          <w:highlight w:val="none"/>
          <w:lang w:val="en-US" w:eastAsia="zh-CN" w:bidi="ar-SA"/>
        </w:rPr>
        <w:t>2、升降功能：</w:t>
      </w:r>
    </w:p>
    <w:p w14:paraId="2D6D98D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2.1、电动起背功能：背部升降脚度0-75°±5°。</w:t>
      </w:r>
    </w:p>
    <w:p w14:paraId="1C5A291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2.2、电动曲腿功能：腿部升降角度0-30°±5°。</w:t>
      </w:r>
    </w:p>
    <w:p w14:paraId="1606099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bCs/>
          <w:color w:val="auto"/>
          <w:kern w:val="2"/>
          <w:sz w:val="21"/>
          <w:szCs w:val="21"/>
          <w:highlight w:val="none"/>
          <w:lang w:val="en-US" w:eastAsia="zh-CN" w:bidi="ar-SA"/>
        </w:rPr>
        <w:t>3、床体骨架：</w:t>
      </w:r>
    </w:p>
    <w:p w14:paraId="6DF3E46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3.1、床框采用≥30*60*1.2mm（厚度）的成型方管焊接，床体采用自动焊接工艺，激光下料，床架和床面平铺满焊，焊接牢固，焊接处平整光滑，可承载≥200kg; 床体预留输液架孔。</w:t>
      </w:r>
    </w:p>
    <w:p w14:paraId="6F05ED2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3.2、床腿采用整体矩管焊接成型。</w:t>
      </w:r>
    </w:p>
    <w:p w14:paraId="40511B72">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4、床面板：</w:t>
      </w:r>
    </w:p>
    <w:p w14:paraId="7653CF79">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4.1、床板采用高性能冷轧钢板冲压成型，床面≥1.0mm，板材宽160mm厚1.0mm。具有多孔设计，具有</w:t>
      </w:r>
      <w:r>
        <w:rPr>
          <w:rFonts w:hint="eastAsia" w:ascii="宋体" w:hAnsi="宋体" w:eastAsia="宋体" w:cs="Times New Roman"/>
          <w:b w:val="0"/>
          <w:bCs w:val="0"/>
          <w:color w:val="auto"/>
          <w:kern w:val="2"/>
          <w:sz w:val="21"/>
          <w:szCs w:val="21"/>
          <w:highlight w:val="none"/>
          <w:lang w:val="en-US" w:eastAsia="zh-CN" w:bidi="ar-SA"/>
        </w:rPr>
        <w:t>透气、防滑功能。</w:t>
      </w:r>
    </w:p>
    <w:p w14:paraId="5A291F73">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4.2、背段最顶端可承载150kg。</w:t>
      </w:r>
    </w:p>
    <w:p w14:paraId="0A309CF9">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Times New Roman"/>
          <w:b/>
          <w:bCs/>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5、生产工艺：</w:t>
      </w:r>
    </w:p>
    <w:p w14:paraId="22FCEA25">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5.1、管材：产品所用的钢管、钣金件采用激光切管机下料。</w:t>
      </w:r>
    </w:p>
    <w:p w14:paraId="29BFE205">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lang w:val="en-US" w:eastAsia="zh-CN" w:bidi="ar-SA"/>
        </w:rPr>
        <w:t>5.2、采用机械手集群焊接，</w:t>
      </w:r>
      <w:r>
        <w:rPr>
          <w:rFonts w:hint="eastAsia" w:ascii="宋体" w:hAnsi="宋体" w:eastAsia="宋体" w:cs="Times New Roman"/>
          <w:b w:val="0"/>
          <w:bCs w:val="0"/>
          <w:color w:val="auto"/>
          <w:kern w:val="2"/>
          <w:sz w:val="21"/>
          <w:szCs w:val="21"/>
          <w:highlight w:val="none"/>
          <w:lang w:val="en-US" w:eastAsia="zh-CN" w:bidi="ar-SA"/>
        </w:rPr>
        <w:t>焊接过程采用混合气气体保护。</w:t>
      </w:r>
    </w:p>
    <w:p w14:paraId="4DF00D7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5.3、碳钢表面处理：采用自有全自动静电粉末喷涂流水线一次性完工，涂层均匀，具有抗菌，抗酸碱、耐腐蚀、耐褪色等特性，喷涂前经过高速抛丸机除锈，整床金属表面处理采用脱脂除油、清洗、酸洗去锈、清洗、中和处理、表面处理、磷化处理、清洗、烘干、静电粉末喷涂、高温烘烤固化等十一道工序经全自动喷涂线而成，磷化工艺材料为锌系，避免材料内壁生锈，涂面附着力强，平整光滑，耐腐蚀；延长病床的使用寿命（提供塑粉检测报告）。</w:t>
      </w:r>
    </w:p>
    <w:p w14:paraId="2D1B46DA">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6、床头、床尾：</w:t>
      </w:r>
      <w:r>
        <w:rPr>
          <w:rFonts w:hint="eastAsia" w:ascii="宋体" w:hAnsi="宋体" w:eastAsia="宋体" w:cs="Times New Roman"/>
          <w:b w:val="0"/>
          <w:bCs w:val="0"/>
          <w:color w:val="auto"/>
          <w:kern w:val="2"/>
          <w:sz w:val="21"/>
          <w:szCs w:val="21"/>
          <w:lang w:val="en-US" w:eastAsia="zh-CN" w:bidi="ar-SA"/>
        </w:rPr>
        <w:t xml:space="preserve">采用木质床头床尾板侧板，床头部带有软包。                 </w:t>
      </w:r>
    </w:p>
    <w:p w14:paraId="2DFC23D6">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8、护栏：</w:t>
      </w:r>
      <w:r>
        <w:rPr>
          <w:rFonts w:hint="eastAsia" w:ascii="宋体" w:hAnsi="宋体" w:eastAsia="宋体" w:cs="Times New Roman"/>
          <w:b w:val="0"/>
          <w:bCs w:val="0"/>
          <w:color w:val="auto"/>
          <w:kern w:val="2"/>
          <w:sz w:val="21"/>
          <w:szCs w:val="21"/>
          <w:lang w:val="en-US" w:eastAsia="zh-CN" w:bidi="ar-SA"/>
        </w:rPr>
        <w:t>侧面护栏D型铝合金扶手，表面硬化处理，加高6支护栏支柱，上下连接件采用一次冲压成形钢件，厚度</w:t>
      </w:r>
      <w:r>
        <w:rPr>
          <w:rFonts w:hint="eastAsia" w:ascii="宋体" w:hAnsi="宋体" w:eastAsia="宋体" w:cs="Times New Roman"/>
          <w:b w:val="0"/>
          <w:bCs w:val="0"/>
          <w:color w:val="auto"/>
          <w:kern w:val="2"/>
          <w:sz w:val="21"/>
          <w:szCs w:val="21"/>
          <w:highlight w:val="none"/>
          <w:lang w:val="en-US" w:eastAsia="zh-CN" w:bidi="ar-SA"/>
        </w:rPr>
        <w:t>≥2.0mm，底座≥30*30mm，配有防松紧固件，可收缩平放，收缩时略高于床面，可防止床垫移位。</w:t>
      </w:r>
    </w:p>
    <w:p w14:paraId="203C98E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Times New Roman"/>
          <w:b w:val="0"/>
          <w:bCs w:val="0"/>
          <w:color w:val="auto"/>
          <w:kern w:val="2"/>
          <w:sz w:val="21"/>
          <w:szCs w:val="21"/>
          <w:highlight w:val="yellow"/>
          <w:lang w:val="en-US" w:eastAsia="zh-CN" w:bidi="ar-SA"/>
        </w:rPr>
      </w:pPr>
      <w:r>
        <w:rPr>
          <w:rFonts w:hint="eastAsia" w:ascii="宋体" w:hAnsi="宋体" w:eastAsia="宋体" w:cs="Times New Roman"/>
          <w:b/>
          <w:bCs/>
          <w:color w:val="auto"/>
          <w:kern w:val="2"/>
          <w:sz w:val="21"/>
          <w:szCs w:val="21"/>
          <w:lang w:val="en-US" w:eastAsia="zh-CN" w:bidi="ar-SA"/>
        </w:rPr>
        <w:t>9、脚轮：</w:t>
      </w:r>
      <w:r>
        <w:rPr>
          <w:rFonts w:hint="eastAsia" w:ascii="宋体" w:hAnsi="宋体" w:eastAsia="宋体" w:cs="Times New Roman"/>
          <w:b w:val="0"/>
          <w:bCs w:val="0"/>
          <w:color w:val="auto"/>
          <w:kern w:val="2"/>
          <w:sz w:val="21"/>
          <w:szCs w:val="21"/>
          <w:lang w:val="en-US" w:eastAsia="zh-CN" w:bidi="ar-SA"/>
        </w:rPr>
        <w:t>采用≥125mm静音脚轮，四轮刹车。</w:t>
      </w:r>
    </w:p>
    <w:p w14:paraId="07DF819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Times New Roman"/>
          <w:b/>
          <w:bCs/>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10、床垫：</w:t>
      </w:r>
    </w:p>
    <w:p w14:paraId="01C5DCB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10.1、厚度≥</w:t>
      </w:r>
      <w:r>
        <w:rPr>
          <w:rFonts w:hint="eastAsia" w:ascii="宋体" w:hAnsi="宋体" w:eastAsia="宋体" w:cs="Times New Roman"/>
          <w:b w:val="0"/>
          <w:bCs w:val="0"/>
          <w:color w:val="auto"/>
          <w:kern w:val="2"/>
          <w:sz w:val="21"/>
          <w:szCs w:val="21"/>
          <w:highlight w:val="none"/>
          <w:lang w:val="en-US" w:eastAsia="zh-CN" w:bidi="ar-SA"/>
        </w:rPr>
        <w:t>60mm；</w:t>
      </w:r>
      <w:r>
        <w:rPr>
          <w:rFonts w:hint="eastAsia" w:ascii="宋体" w:hAnsi="宋体" w:eastAsia="宋体" w:cs="Times New Roman"/>
          <w:b w:val="0"/>
          <w:bCs w:val="0"/>
          <w:color w:val="auto"/>
          <w:kern w:val="2"/>
          <w:sz w:val="21"/>
          <w:szCs w:val="21"/>
          <w:lang w:val="en-US" w:eastAsia="zh-CN" w:bidi="ar-SA"/>
        </w:rPr>
        <w:t>整体规格与床相符合。</w:t>
      </w:r>
    </w:p>
    <w:p w14:paraId="2AC6230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lang w:val="en-US" w:eastAsia="zh-CN" w:bidi="ar-SA"/>
        </w:rPr>
        <w:t>10.2、医学专用床垫</w:t>
      </w:r>
      <w:r>
        <w:rPr>
          <w:rFonts w:hint="eastAsia" w:ascii="宋体" w:hAnsi="宋体" w:eastAsia="宋体" w:cs="Times New Roman"/>
          <w:b w:val="0"/>
          <w:bCs w:val="0"/>
          <w:color w:val="auto"/>
          <w:kern w:val="2"/>
          <w:sz w:val="21"/>
          <w:szCs w:val="21"/>
          <w:highlight w:val="none"/>
          <w:lang w:val="en-US" w:eastAsia="zh-CN" w:bidi="ar-SA"/>
        </w:rPr>
        <w:t>。</w:t>
      </w:r>
    </w:p>
    <w:p w14:paraId="612BCD8A">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10.3、内层采用高密度海绵加环保椰棕，透气，与病床相符合。</w:t>
      </w:r>
    </w:p>
    <w:p w14:paraId="0D8273D3">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default"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10.4、外皮可拆卸，便于临床护理卫生清洁。</w:t>
      </w:r>
    </w:p>
    <w:p w14:paraId="43293AB4">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6C6A3B41">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38A5EBF0">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序号2、防压疮气床垫</w:t>
      </w:r>
    </w:p>
    <w:p w14:paraId="30782A8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1、尺寸：2000*900mm（±10mm）；</w:t>
      </w:r>
    </w:p>
    <w:p w14:paraId="1CE6582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2、材质：PVC；</w:t>
      </w:r>
    </w:p>
    <w:p w14:paraId="3C3FD83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3、条形波动1,2,3档为波动档，带有微型喷气孔；</w:t>
      </w:r>
    </w:p>
    <w:p w14:paraId="0D9249A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4、间隔管有7分钟交替充气；</w:t>
      </w:r>
    </w:p>
    <w:p w14:paraId="75D1C7F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lang w:val="en-US" w:eastAsia="zh-CN" w:bidi="ar-SA"/>
        </w:rPr>
        <w:t>5、气条可单独拆卸。</w:t>
      </w:r>
    </w:p>
    <w:p w14:paraId="457C0B45">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15B98161">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序号3、电动排痰仪</w:t>
      </w:r>
    </w:p>
    <w:p w14:paraId="0ACD80FB">
      <w:pPr>
        <w:pStyle w:val="26"/>
        <w:keepNext w:val="0"/>
        <w:keepLines w:val="0"/>
        <w:pageBreakBefore w:val="0"/>
        <w:widowControl w:val="0"/>
        <w:numPr>
          <w:ilvl w:val="0"/>
          <w:numId w:val="3"/>
        </w:numPr>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技术要求：</w:t>
      </w:r>
    </w:p>
    <w:p w14:paraId="1ECF9E03">
      <w:pPr>
        <w:pStyle w:val="26"/>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w:t>
      </w:r>
      <w:r>
        <w:rPr>
          <w:rFonts w:hint="eastAsia" w:ascii="宋体" w:hAnsi="宋体" w:eastAsia="宋体" w:cs="Times New Roman"/>
          <w:b w:val="0"/>
          <w:bCs w:val="0"/>
          <w:color w:val="auto"/>
          <w:kern w:val="2"/>
          <w:sz w:val="21"/>
          <w:szCs w:val="21"/>
          <w:lang w:val="en-US" w:eastAsia="zh-CN" w:bidi="ar-SA"/>
        </w:rPr>
        <w:t xml:space="preserve">1.1、用途：促进分泌物及痰液的排除、缓解支气管平滑肌痉挛、消除水肿、减轻阻塞、提高血氧浓度、可改善呼吸音等疾病状况。 </w:t>
      </w:r>
    </w:p>
    <w:p w14:paraId="0A75252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lang w:val="en-US" w:eastAsia="zh-CN" w:bidi="ar-SA"/>
        </w:rPr>
        <w:t>1.</w:t>
      </w:r>
      <w:r>
        <w:rPr>
          <w:rFonts w:hint="eastAsia" w:ascii="宋体" w:hAnsi="宋体" w:eastAsia="宋体" w:cs="Times New Roman"/>
          <w:b w:val="0"/>
          <w:bCs w:val="0"/>
          <w:color w:val="auto"/>
          <w:kern w:val="2"/>
          <w:sz w:val="21"/>
          <w:szCs w:val="21"/>
          <w:highlight w:val="none"/>
          <w:lang w:val="en-US" w:eastAsia="zh-CN" w:bidi="ar-SA"/>
        </w:rPr>
        <w:t>2、交互界面≥16寸，触摸屏幕≥5寸，全中文导航，触摸按键。</w:t>
      </w:r>
    </w:p>
    <w:p w14:paraId="0BD9EFC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1.3、训练模式：手动模式，多种自动模式，自定义模式；</w:t>
      </w:r>
    </w:p>
    <w:p w14:paraId="28AFD7C3">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w:t>
      </w:r>
      <w:r>
        <w:rPr>
          <w:rFonts w:hint="eastAsia" w:ascii="宋体" w:hAnsi="宋体" w:eastAsia="宋体" w:cs="Times New Roman"/>
          <w:b w:val="0"/>
          <w:bCs w:val="0"/>
          <w:color w:val="auto"/>
          <w:kern w:val="2"/>
          <w:sz w:val="21"/>
          <w:szCs w:val="21"/>
          <w:lang w:val="en-US" w:eastAsia="zh-CN" w:bidi="ar-SA"/>
        </w:rPr>
        <w:t>1.4、性能参数：</w:t>
      </w:r>
    </w:p>
    <w:p w14:paraId="703988E9">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1.4.1、频率为1-22Hz,步距1Hz连续可调；</w:t>
      </w:r>
    </w:p>
    <w:p w14:paraId="3492884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1.4.2、压力1-35mmHg，步距1mmHg连续可调；</w:t>
      </w:r>
    </w:p>
    <w:p w14:paraId="3F5280D3">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1.4.3、时间范围：1-60min ，步距1min连续可调；</w:t>
      </w:r>
    </w:p>
    <w:p w14:paraId="58B3C4A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1.5、自动模式：至少具备成人模式、老人模式、重症模式、儿童模式；参数范围可调。成人模式（频率为 10-18Hz，压力为10-25mmHg）、老人模式（频率为 10-15Hz，压力为10-20mmHg）、重症模式（频率为8-14Hz，压力为8-20mmHg）、儿童模式（频率为6-14Hz，压力为8-20mmHg）；</w:t>
      </w:r>
    </w:p>
    <w:p w14:paraId="7084DE85">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w:t>
      </w:r>
      <w:r>
        <w:rPr>
          <w:rFonts w:hint="eastAsia" w:ascii="宋体" w:hAnsi="宋体" w:eastAsia="宋体" w:cs="Times New Roman"/>
          <w:b w:val="0"/>
          <w:bCs w:val="0"/>
          <w:color w:val="auto"/>
          <w:kern w:val="2"/>
          <w:sz w:val="21"/>
          <w:szCs w:val="21"/>
          <w:lang w:val="en-US" w:eastAsia="zh-CN" w:bidi="ar-SA"/>
        </w:rPr>
        <w:t>1.6、自定义模式：具备存储记忆功能，自命名内容可自定义为中文、英文、数字等，修改完参数后自动保存。当设备供电短时中断后又恢复时自定义模式的参数不改变。具有储存和查询患者历史治疗信息的功能；</w:t>
      </w:r>
    </w:p>
    <w:p w14:paraId="4BB0342A">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1.7、导气软管连接：设备连接软管应连接牢固，在管路连接方向上作用20N的力1分钟，管路与设备和充气气囊不分离；</w:t>
      </w:r>
    </w:p>
    <w:p w14:paraId="555A6EA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1.8、指示功能：设备在工作时屏幕上会显示当前工作压力与气动频率。</w:t>
      </w:r>
    </w:p>
    <w:p w14:paraId="1D733A7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1.9、泄压功能：在泄压启动后，充气气囊压力在 10s 内从最大压力下降到 0.2kPa；</w:t>
      </w:r>
    </w:p>
    <w:p w14:paraId="5F03084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1.10、具有双重电源保护功能。</w:t>
      </w:r>
    </w:p>
    <w:p w14:paraId="78191F5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highlight w:val="yellow"/>
          <w:lang w:val="en-US" w:eastAsia="zh-CN" w:bidi="ar-SA"/>
        </w:rPr>
      </w:pPr>
      <w:r>
        <w:rPr>
          <w:rFonts w:hint="eastAsia" w:ascii="宋体" w:hAnsi="宋体" w:eastAsia="宋体" w:cs="Times New Roman"/>
          <w:b w:val="0"/>
          <w:bCs w:val="0"/>
          <w:color w:val="auto"/>
          <w:kern w:val="2"/>
          <w:sz w:val="21"/>
          <w:szCs w:val="21"/>
          <w:lang w:val="en-US" w:eastAsia="zh-CN" w:bidi="ar-SA"/>
        </w:rPr>
        <w:t>1.11、气动频率与压力输出准确性:频率误差应不超过士20%，具有自动检测、反馈、调节功能。压力范围误差应不超过士1.5mmHg、压力可调节校准误差。</w:t>
      </w:r>
    </w:p>
    <w:p w14:paraId="07F5E092">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1.12、工作噪音：设备在正常工作时，噪声≤ 55dB (A) 。</w:t>
      </w:r>
    </w:p>
    <w:p w14:paraId="05839752">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0000FF"/>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w:t>
      </w:r>
      <w:r>
        <w:rPr>
          <w:rFonts w:hint="eastAsia" w:ascii="宋体" w:hAnsi="宋体" w:eastAsia="宋体" w:cs="Times New Roman"/>
          <w:b w:val="0"/>
          <w:bCs w:val="0"/>
          <w:color w:val="auto"/>
          <w:kern w:val="2"/>
          <w:sz w:val="21"/>
          <w:szCs w:val="21"/>
          <w:lang w:val="en-US" w:eastAsia="zh-CN" w:bidi="ar-SA"/>
        </w:rPr>
        <w:t>1.13、设备配置血氧监护功能:脉搏血氧饱和度监护范围70%-100%，测量误差为士2%;脉搏速率测试范围:30-250bpm，测试误差为士2bpm 或士2%，且本设备所采用的血氧探头应是已取得医疗器械注册证（提供注册证作为证明材料）。</w:t>
      </w:r>
    </w:p>
    <w:p w14:paraId="7E74AA0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w:t>
      </w:r>
      <w:r>
        <w:rPr>
          <w:rFonts w:hint="eastAsia" w:ascii="宋体" w:hAnsi="宋体" w:eastAsia="宋体" w:cs="Times New Roman"/>
          <w:b w:val="0"/>
          <w:bCs w:val="0"/>
          <w:color w:val="auto"/>
          <w:kern w:val="2"/>
          <w:sz w:val="21"/>
          <w:szCs w:val="21"/>
          <w:lang w:val="en-US" w:eastAsia="zh-CN" w:bidi="ar-SA"/>
        </w:rPr>
        <w:t>1.14、设备具有历史运行总时间统计显示功能。</w:t>
      </w:r>
    </w:p>
    <w:p w14:paraId="505574B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1.15、本产品通过国家行业标准 YY/T 1685-2020《气动脉冲振荡排痰设备》。</w:t>
      </w:r>
    </w:p>
    <w:p w14:paraId="5A3F58D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1.16、提供EMC检测报告扫描件。</w:t>
      </w:r>
    </w:p>
    <w:p w14:paraId="6D6F3936">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w:t>
      </w:r>
      <w:r>
        <w:rPr>
          <w:rFonts w:hint="eastAsia" w:ascii="宋体" w:hAnsi="宋体" w:eastAsia="宋体" w:cs="Times New Roman"/>
          <w:b w:val="0"/>
          <w:bCs w:val="0"/>
          <w:color w:val="auto"/>
          <w:kern w:val="2"/>
          <w:sz w:val="21"/>
          <w:szCs w:val="21"/>
          <w:lang w:val="en-US" w:eastAsia="zh-CN" w:bidi="ar-SA"/>
        </w:rPr>
        <w:t>1.17、设备的使用年限≥10年（提供设备铭牌证明）。</w:t>
      </w:r>
    </w:p>
    <w:p w14:paraId="36222A3A">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w:t>
      </w:r>
      <w:r>
        <w:rPr>
          <w:rFonts w:hint="eastAsia" w:ascii="宋体" w:hAnsi="宋体" w:eastAsia="宋体" w:cs="Times New Roman"/>
          <w:b w:val="0"/>
          <w:bCs w:val="0"/>
          <w:color w:val="auto"/>
          <w:kern w:val="2"/>
          <w:sz w:val="21"/>
          <w:szCs w:val="21"/>
          <w:lang w:val="en-US" w:eastAsia="zh-CN" w:bidi="ar-SA"/>
        </w:rPr>
        <w:t>1.</w:t>
      </w:r>
      <w:r>
        <w:rPr>
          <w:rFonts w:hint="eastAsia" w:ascii="宋体" w:hAnsi="宋体" w:eastAsia="宋体" w:cs="宋体"/>
          <w:b w:val="0"/>
          <w:bCs w:val="0"/>
          <w:color w:val="auto"/>
          <w:kern w:val="2"/>
          <w:sz w:val="21"/>
          <w:szCs w:val="21"/>
          <w:lang w:val="en-US" w:eastAsia="zh-CN" w:bidi="ar-SA"/>
        </w:rPr>
        <w:t>18</w:t>
      </w:r>
      <w:r>
        <w:rPr>
          <w:rFonts w:hint="eastAsia" w:ascii="宋体" w:hAnsi="宋体" w:eastAsia="宋体" w:cs="Times New Roman"/>
          <w:b w:val="0"/>
          <w:bCs w:val="0"/>
          <w:color w:val="auto"/>
          <w:kern w:val="2"/>
          <w:sz w:val="21"/>
          <w:szCs w:val="21"/>
          <w:lang w:val="en-US" w:eastAsia="zh-CN" w:bidi="ar-SA"/>
        </w:rPr>
        <w:t>、具有多种背心规格 (XXS、XSS、XS、S、M、L等) ，另配单层背心、束带，配件至少满足体重5KG至150KG的患者使用。</w:t>
      </w:r>
    </w:p>
    <w:p w14:paraId="1B7DE28B">
      <w:pPr>
        <w:pStyle w:val="26"/>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1.19、充气背心具备腹部防振动结构，采用可</w:t>
      </w:r>
      <w:r>
        <w:rPr>
          <w:rFonts w:hint="eastAsia" w:ascii="宋体" w:hAnsi="宋体" w:eastAsia="宋体" w:cs="Times New Roman"/>
          <w:b w:val="0"/>
          <w:bCs w:val="0"/>
          <w:color w:val="auto"/>
          <w:kern w:val="2"/>
          <w:sz w:val="21"/>
          <w:szCs w:val="21"/>
          <w:highlight w:val="none"/>
          <w:lang w:val="en-US" w:eastAsia="zh-CN" w:bidi="ar-SA"/>
        </w:rPr>
        <w:t>拆卸式设计，并配备可拆卸内衬避免交叉感染；</w:t>
      </w:r>
      <w:r>
        <w:rPr>
          <w:rFonts w:hint="eastAsia" w:ascii="宋体" w:hAnsi="宋体" w:eastAsia="宋体" w:cs="Times New Roman"/>
          <w:b w:val="0"/>
          <w:bCs w:val="0"/>
          <w:color w:val="auto"/>
          <w:kern w:val="2"/>
          <w:sz w:val="21"/>
          <w:szCs w:val="21"/>
          <w:lang w:val="en-US" w:eastAsia="zh-CN" w:bidi="ar-SA"/>
        </w:rPr>
        <w:t>拆卸和组装过程简便易行，不影响气囊的密封性和使用性能。</w:t>
      </w:r>
    </w:p>
    <w:p w14:paraId="1ADF47C2">
      <w:pPr>
        <w:pStyle w:val="26"/>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2" w:firstLineChars="200"/>
        <w:jc w:val="both"/>
        <w:textAlignment w:val="auto"/>
        <w:rPr>
          <w:rFonts w:hint="eastAsia" w:ascii="宋体" w:hAnsi="宋体" w:eastAsia="宋体" w:cs="Times New Roman"/>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w:t>
      </w:r>
      <w:r>
        <w:rPr>
          <w:rFonts w:hint="eastAsia" w:ascii="宋体" w:hAnsi="宋体" w:eastAsia="宋体" w:cs="Times New Roman"/>
          <w:b/>
          <w:bCs/>
          <w:color w:val="auto"/>
          <w:kern w:val="2"/>
          <w:sz w:val="21"/>
          <w:szCs w:val="21"/>
          <w:lang w:val="en-US" w:eastAsia="zh-CN" w:bidi="ar-SA"/>
        </w:rPr>
        <w:t>2、配置要求：</w:t>
      </w:r>
    </w:p>
    <w:p w14:paraId="5D86FF61">
      <w:pPr>
        <w:pStyle w:val="26"/>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2.1、主机1台。</w:t>
      </w:r>
    </w:p>
    <w:p w14:paraId="087953C0">
      <w:pPr>
        <w:pStyle w:val="26"/>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jc w:val="both"/>
        <w:textAlignment w:val="auto"/>
        <w:rPr>
          <w:rFonts w:hint="default"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2.2、背心：≥2套。</w:t>
      </w:r>
    </w:p>
    <w:p w14:paraId="271A266A">
      <w:pPr>
        <w:pStyle w:val="26"/>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2.3、配专用推车：1台。</w:t>
      </w:r>
    </w:p>
    <w:p w14:paraId="2E59FD33">
      <w:pPr>
        <w:pStyle w:val="26"/>
        <w:keepNext w:val="0"/>
        <w:keepLines w:val="0"/>
        <w:pageBreakBefore w:val="0"/>
        <w:kinsoku/>
        <w:wordWrap/>
        <w:overflowPunct/>
        <w:topLinePunct w:val="0"/>
        <w:bidi w:val="0"/>
        <w:snapToGrid/>
        <w:spacing w:line="360" w:lineRule="auto"/>
        <w:ind w:right="0" w:rightChars="0" w:firstLine="0" w:firstLineChars="0"/>
        <w:jc w:val="both"/>
        <w:rPr>
          <w:rFonts w:hint="eastAsia" w:ascii="宋体" w:hAnsi="宋体" w:eastAsia="宋体" w:cs="宋体"/>
          <w:b/>
          <w:bCs w:val="0"/>
          <w:color w:val="auto"/>
          <w:kern w:val="0"/>
          <w:sz w:val="21"/>
          <w:szCs w:val="21"/>
          <w:highlight w:val="none"/>
          <w:lang w:val="en-US" w:eastAsia="zh-CN" w:bidi="ar-SA"/>
        </w:rPr>
      </w:pPr>
    </w:p>
    <w:p w14:paraId="7820EC4D">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序号4、彩色多普勒超声诊断仪</w:t>
      </w:r>
    </w:p>
    <w:p w14:paraId="47205AE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1、设备用途：</w:t>
      </w:r>
    </w:p>
    <w:p w14:paraId="5B54C8E9">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1.1、可用于腹部、产科、妇科、心脏、小器官、泌尿、血管、急诊、麻醉等；</w:t>
      </w:r>
    </w:p>
    <w:p w14:paraId="7DDD58C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2、系统技术要求：</w:t>
      </w:r>
    </w:p>
    <w:p w14:paraId="39F67006">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2.1、超声主机操作系统：Windows操作系统，支持与常规PC机兼容的各种即插即用外部设备，如USB打印机、U盘、移动硬盘等（提供Windows系统图片证明）；</w:t>
      </w:r>
    </w:p>
    <w:p w14:paraId="2BC8835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2.2、配置≥23 英寸高分辨率彩色液晶显示器，显示器支臂可左右自由旋转≥300度；</w:t>
      </w:r>
    </w:p>
    <w:p w14:paraId="33F30FB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2.3、主机一体化彩色触摸屏≥15英寸，触摸屏角度可独立调节，用于控制调节仪器的多项参数、探头切换、选择检查模式等；</w:t>
      </w:r>
    </w:p>
    <w:p w14:paraId="7CB98736">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2.4、探头接口≥5个，全部激活，均为非针孔式零拔插力接口，拨杆式设计，各接口各探头可以通用即插即用；</w:t>
      </w:r>
    </w:p>
    <w:p w14:paraId="05B9FBCA">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2.5、主机内置探头接口通用性：所有探头接口都能互通互用，每个探头均可接插在任意一个探头接口正常使用，即插即用，电子切换；</w:t>
      </w:r>
    </w:p>
    <w:p w14:paraId="5003805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2.6、所有探头接口须位于主机左侧或右侧；</w:t>
      </w:r>
    </w:p>
    <w:p w14:paraId="03750D2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2.7、配置抽拉式PC键盘；</w:t>
      </w:r>
    </w:p>
    <w:p w14:paraId="2555A32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2.8、二维模式、彩色模式、频谱模式的声功率可独立调节，范围0%-100%，调节步长均≤3%；</w:t>
      </w:r>
    </w:p>
    <w:p w14:paraId="3003470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2.9、二维灰阶模式；</w:t>
      </w:r>
    </w:p>
    <w:p w14:paraId="05DFB5A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2.10、组织谐波技术（可用于所有探头）, 可与复合成像技术同时使用，≥5级可调；</w:t>
      </w:r>
    </w:p>
    <w:p w14:paraId="217688D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2.11、融合谐波技术≥3级可调；</w:t>
      </w:r>
    </w:p>
    <w:p w14:paraId="6E6CBA33">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2.12、梯形扩展成像，线阵扩展角度≥24°；</w:t>
      </w:r>
    </w:p>
    <w:p w14:paraId="2C8071F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2.13、彩色M型（可支持所有探头）；</w:t>
      </w:r>
    </w:p>
    <w:p w14:paraId="004416F2">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2.14、解剖M型模式，支持≥5条取样线，可在任意位置自由旋转定位，长度多级可调；</w:t>
      </w:r>
    </w:p>
    <w:p w14:paraId="6721210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2.15、频谱多普勒成像（包括脉冲多普勒、高脉冲重复频率、连续波多普勒）；</w:t>
      </w:r>
    </w:p>
    <w:p w14:paraId="5745F47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2.16、空间向量血流成像技术；</w:t>
      </w:r>
    </w:p>
    <w:p w14:paraId="63C4597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2.17、智能化一键图像优化技术，实现对B模式、彩色多普勒模式的图像效果的一键优化功能；实现对频谱或连续波多普勒模式下的PRF、基线的一键优化功能；</w:t>
      </w:r>
    </w:p>
    <w:p w14:paraId="6D475CA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2.18、宏保真成像技术：≥5级可调；</w:t>
      </w:r>
    </w:p>
    <w:p w14:paraId="5A6DD08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2.19、空间复合成像技术，可通过在一定的空间范围内偏转不同角度的声束并进行图像复合，具有多个档位的调节以控制复合的程度；</w:t>
      </w:r>
    </w:p>
    <w:p w14:paraId="53A3F95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2.20、实时四同步技术，二维/彩色/多普勒/自动包络；</w:t>
      </w:r>
    </w:p>
    <w:p w14:paraId="7767E6A2">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2.21、B/C分屏模式，支持CFM/PDI/TDI的B模式和多普勒模式的双幅实时对比显示；</w:t>
      </w:r>
    </w:p>
    <w:p w14:paraId="598534A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2.22、应变式弹性成像技术；</w:t>
      </w:r>
    </w:p>
    <w:p w14:paraId="1D356525">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2.23、宽景成像技术，支持腹部探头、浅表探头、心脏探头、腔内探头，具备速度实时提示功能，成像后可自动测量成像宽度；</w:t>
      </w:r>
    </w:p>
    <w:p w14:paraId="1AB8E06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2.24、穿刺增强技术，增强角度10°-80°多级可调，步进≤1°，支持一键增强角度自适应功能；</w:t>
      </w:r>
    </w:p>
    <w:p w14:paraId="08219E2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2.25、智能血流技术：识别和校正彩色多普勒模式下的彩框位置、速度量程、偏转方向及角度和频谱多普勒模式下的取样位置、校正角、基线、速度量程等自动优化内容；</w:t>
      </w:r>
    </w:p>
    <w:p w14:paraId="6450CF2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2.26、组织多普勒成像技术，支持速度、能量、M型、频谱等模式；</w:t>
      </w:r>
    </w:p>
    <w:p w14:paraId="45ED3BC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2.27、超声教学指导软件：具有仿真组织内部解剖动画，探头扫查手法三维动画视频教学演示及对应的标准超声视频动态图像演示，并与实时扫查的超声成像同屏显示实时对比，且针对每个临床超声操作有详细文字说明；</w:t>
      </w:r>
    </w:p>
    <w:p w14:paraId="5111D17A">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2.28、DICOM基础功能：通过DICOM3.0连接PACS（图片存档及通信系统），包括存储（U盘、网络）、DICOMDIR、传输到DICOM服务器以及存储确认；</w:t>
      </w:r>
    </w:p>
    <w:p w14:paraId="3A01FA16">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2.29、DICOM高级功能：通过DICOM3.0连接PACS（图片存档及通信系统），包括WORKLIST、打印、Q&amp;R以及MPPS；</w:t>
      </w:r>
    </w:p>
    <w:p w14:paraId="502FE6F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yellow"/>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2.30、三维预扫查功能：支持在容积扫查时对目标组织进行二维图像序列回顾的功能,在确认扫查范围已经覆盖所需部位且满意的情况下再进入3D进行容积成像,否则可以撤回重新进行取样扫查；</w:t>
      </w:r>
    </w:p>
    <w:p w14:paraId="04535D9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2.31、胎儿自动标准切面：系统自动识别符合测量标准的多个胎儿标准切面并进行测量输出测量结果；</w:t>
      </w:r>
    </w:p>
    <w:p w14:paraId="389DF8E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2.32、自动卵泡测量：系统在设置的取样框内自动识别最大的二维卵泡图像特征并对其轮廓进行包络同时输出相关测量结果；</w:t>
      </w:r>
    </w:p>
    <w:p w14:paraId="5BC57C1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2.33、专家级报告系统：支持测量数据汇总、编辑、图表生成等功能，将病人基本信息、计测结果、诊断描述、图像资料等汇集成报告进行存档或输出。支持报告样式和词库模板的编辑预设功能；</w:t>
      </w:r>
    </w:p>
    <w:p w14:paraId="6751EB69">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2.34、浏览功能：在档案浏览模式下支持对多个媒体文件的同时播放和对比播放功能；</w:t>
      </w:r>
    </w:p>
    <w:p w14:paraId="73F9FE2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2.35、工作表：具有前置工作表和完整工作表，可对测量数据进行汇总呈现。前置工作表支持边检查边回顾测量数据；完整工作表支持测量数据编辑及离线分析；</w:t>
      </w:r>
    </w:p>
    <w:p w14:paraId="587FE11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2.36、对比模式：支持档案中两份或多份检查的报告进行汇总对比分析；</w:t>
      </w:r>
    </w:p>
    <w:p w14:paraId="42437DB6">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2.37、用户管理功能：支持不同用户及其权限的设置和管理；</w:t>
      </w:r>
    </w:p>
    <w:p w14:paraId="5EE8524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3、技术参数及要求：</w:t>
      </w:r>
    </w:p>
    <w:p w14:paraId="0A41942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3.1、二维灰阶模式；</w:t>
      </w:r>
    </w:p>
    <w:p w14:paraId="46BD2D23">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3.1.1、数字化全程动态聚焦，数字化可变孔径及动态变迹，A/D≥12 bit；</w:t>
      </w:r>
    </w:p>
    <w:p w14:paraId="48B723A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3.1.2、预设条件：针对不同的检查脏器，预置最佳化图像的检查条件，预置条件以中文文字的方式直观表达，如泌尿科、中晚孕、早期妊娠等（提供图片证明）；</w:t>
      </w:r>
    </w:p>
    <w:p w14:paraId="67780D1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3.1.3、多探头多模式分屏显示功能：可以同屏显示多个不同种类探头的不同模式图像并可电影回放（提供同屏显示腹部，线阵、腔内、心脏四种探头的二维模式图像证明）；</w:t>
      </w:r>
    </w:p>
    <w:p w14:paraId="1FDE029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3.1.4、TGC物理滑杆增益调节≥8段, 具备TGC曲线指示功能，曲线显示方式≥3种可选；</w:t>
      </w:r>
    </w:p>
    <w:p w14:paraId="2C5B3E9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3.1.5、灰阶图谱≥20种可调；</w:t>
      </w:r>
    </w:p>
    <w:p w14:paraId="7DFC8F6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3.1.6、最大动态范围≥280dB；</w:t>
      </w:r>
    </w:p>
    <w:p w14:paraId="3B8CDED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3.1.7、帧相关:≥7级；</w:t>
      </w:r>
    </w:p>
    <w:p w14:paraId="6AABA57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3.1.8、斑点噪声抑制:≥6级可调；</w:t>
      </w:r>
    </w:p>
    <w:p w14:paraId="0BAC7E7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3.1.9、B模式图像翻转：可左/右/上/下翻转，90°旋转；</w:t>
      </w:r>
    </w:p>
    <w:p w14:paraId="2348A88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3.1.10、具备一键全屏显示功能；</w:t>
      </w:r>
    </w:p>
    <w:p w14:paraId="17CDBF6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3.1.11、线阵探头波束偏转角度≥6档可调，最大可达25°，调节角度时参数区域能实时显示角度（提供证明图片）；</w:t>
      </w:r>
    </w:p>
    <w:p w14:paraId="0022296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3.2、M型模式： </w:t>
      </w:r>
    </w:p>
    <w:p w14:paraId="6AB58D8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3.2.1、M型灰阶：≥23级可调；</w:t>
      </w:r>
    </w:p>
    <w:p w14:paraId="322ABF9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3.2.2、B/M布局格式≥8种；</w:t>
      </w:r>
    </w:p>
    <w:p w14:paraId="0EFB1E95">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3.2.3、M伪彩：≥8级可调；</w:t>
      </w:r>
    </w:p>
    <w:p w14:paraId="033CE8F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3.2.4、速度：≥6级可调；</w:t>
      </w:r>
    </w:p>
    <w:p w14:paraId="1065C64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3.3、彩色多普勒成像：</w:t>
      </w:r>
    </w:p>
    <w:p w14:paraId="295BF04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3.3.1、成像方式：包括速度、速度方差、能量、方向能量显示等；</w:t>
      </w:r>
    </w:p>
    <w:p w14:paraId="2C5FD1B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3.3.2、显示方式：B/C、B/POWER、B/C/PW；</w:t>
      </w:r>
    </w:p>
    <w:p w14:paraId="20B83EA9">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3.3.3、所有探头支持彩色频率≥4段可调；</w:t>
      </w:r>
    </w:p>
    <w:p w14:paraId="6E1991A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3.3.4、彩色血流模式下余辉≥7级可调；</w:t>
      </w:r>
    </w:p>
    <w:p w14:paraId="40672BE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3.3.5、彩色优先≥80级可调；</w:t>
      </w:r>
    </w:p>
    <w:p w14:paraId="758774A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3.3.6、彩色血流速度图谱≥23种；</w:t>
      </w:r>
    </w:p>
    <w:p w14:paraId="4669B262">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3.3.7、彩色能量图模式下，能量图谱≥12种；</w:t>
      </w:r>
    </w:p>
    <w:p w14:paraId="1C2EF53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3.3.8、彩色放大：具备彩色放大功能；</w:t>
      </w:r>
    </w:p>
    <w:p w14:paraId="51A1D99A">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yellow"/>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3.3.9、具有多普勒信号去除功能，在彩色模式下，能在实时、冻结的图像上一键快速独立去除多普勒信号，便于在二维与彩色之间快速对比；</w:t>
      </w:r>
    </w:p>
    <w:p w14:paraId="19FE3EE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3.3.10、彩色自动偏转：在偏转彩色取样框方向时，彩条同时自动翻转；</w:t>
      </w:r>
    </w:p>
    <w:p w14:paraId="435ED1F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3.3.11、具备一键操作血流图谱反转功能（如蓝变红及红变蓝）；</w:t>
      </w:r>
    </w:p>
    <w:p w14:paraId="227D47D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3.3.12、二维/彩色双实时对比成像，在二维模式下，一键进入二维/彩色双实时对比成像；</w:t>
      </w:r>
    </w:p>
    <w:p w14:paraId="5B7F747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3.3.13、向量血流图谱速度最大≥150cm/s，最小≤1cm/s；</w:t>
      </w:r>
    </w:p>
    <w:p w14:paraId="7E87A52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3.4、频谱多普勒模式：</w:t>
      </w:r>
    </w:p>
    <w:p w14:paraId="7327F56A">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3.4.1、 增益：0－100dB ；</w:t>
      </w:r>
    </w:p>
    <w:p w14:paraId="104DE1BA">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3.4.2、具备HPRF模式，可根据探测深度自动进入该模式；</w:t>
      </w:r>
    </w:p>
    <w:p w14:paraId="2746445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3.4.3、扫描速度≥6档可调；</w:t>
      </w:r>
    </w:p>
    <w:p w14:paraId="3CE7E50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3.4.4、取样容积：0.5－40mm（提供最大值图片证明）；</w:t>
      </w:r>
    </w:p>
    <w:p w14:paraId="7559C80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3.4.5、角度自动偏转功能：在偏转彩色取样框方向时，频谱取样线角度同时自动偏转；</w:t>
      </w:r>
    </w:p>
    <w:p w14:paraId="53B2134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3.4.6、频谱包络测量可自定义心动周期，可设置的心动周期≥9个；</w:t>
      </w:r>
    </w:p>
    <w:p w14:paraId="552F934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3.4.7、频谱包络测量结果可自定义≥10个，包括ACC、MNV等参数；</w:t>
      </w:r>
    </w:p>
    <w:p w14:paraId="44C94AD9">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3.4.8、频谱包络支持冻结状态下的半自动包络和手动包络；</w:t>
      </w:r>
    </w:p>
    <w:p w14:paraId="440A4195">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3.4.9、频谱模式图谱≥20种可选；</w:t>
      </w:r>
    </w:p>
    <w:p w14:paraId="2AFB30F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3.4.10、频谱模式B/PW的显示布局≥8种可调；</w:t>
      </w:r>
    </w:p>
    <w:p w14:paraId="44EA1A2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3.4.11、频谱模式下校正角可调范围为-89°至+89°；</w:t>
      </w:r>
    </w:p>
    <w:p w14:paraId="72599BF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3.5、弹性成像功能：</w:t>
      </w:r>
    </w:p>
    <w:p w14:paraId="249F7682">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3.5.1、弹性增益0－100dB；</w:t>
      </w:r>
    </w:p>
    <w:p w14:paraId="54C38FD5">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3.5.2、具备多种指示功能，包括位移曲线、压力梯度、可信度指示等；</w:t>
      </w:r>
    </w:p>
    <w:p w14:paraId="1412F9F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3.5.3、弹性成像模式下支持原始数据处理；</w:t>
      </w:r>
    </w:p>
    <w:p w14:paraId="5E09BA4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3.5.4、定量分析功能：具有应变率比值测量、应变面积比测量功能；</w:t>
      </w:r>
    </w:p>
    <w:p w14:paraId="6B28E95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3.6、实时三维（4D）成像（选配容积探头后可支持）：</w:t>
      </w:r>
    </w:p>
    <w:p w14:paraId="1A25B0F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3.6.1、成像模式：表面模式、透视模式、反转模式、最大模式；</w:t>
      </w:r>
    </w:p>
    <w:p w14:paraId="0698770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3.6.2、具有“魔术剪”功能：可随意切割外部或内部无用组织或伪像；</w:t>
      </w:r>
    </w:p>
    <w:p w14:paraId="68CEF76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3.6.3、容积一键自动优化；</w:t>
      </w:r>
    </w:p>
    <w:p w14:paraId="71FAC28D">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3.6.4、实时4D容积成像功能及断层扫描成像技术，断层切面最高≥47个，切面间距最小≤0.5mm；</w:t>
      </w:r>
    </w:p>
    <w:p w14:paraId="00432E2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3.6.5、实时三维模式下，阈值、透明度等参数可在最大值成像、反转成像等多种渲染模式下调节；</w:t>
      </w:r>
    </w:p>
    <w:p w14:paraId="7ED3C61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4、测量/分析和报告：</w:t>
      </w:r>
    </w:p>
    <w:p w14:paraId="65D562A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4.1、B型常规：距离、角度、深度、面积、长度、直方图、面积比等；</w:t>
      </w:r>
    </w:p>
    <w:p w14:paraId="7FF1B966">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4.2、M型常规：心率、时间、多距离、斜率等；</w:t>
      </w:r>
    </w:p>
    <w:p w14:paraId="023D6A46">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4.3、多普勒常规：心率、速度、血流量、自动包络、半自动包络、手动包络等；</w:t>
      </w:r>
    </w:p>
    <w:p w14:paraId="53C5CBB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4.4、容积体积测量方法：≥5种，包括辛普森容积、双平面容积等；</w:t>
      </w:r>
    </w:p>
    <w:p w14:paraId="67340ED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4.5、专科特殊测量：</w:t>
      </w:r>
    </w:p>
    <w:p w14:paraId="50704335">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4.5.1、具有腹部、妇科、产科、心脏、泌尿、小器官、血管、颅脑、急诊测量等软件包；</w:t>
      </w:r>
    </w:p>
    <w:p w14:paraId="4E74B16B">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4.5.2、产科测量与分析，具有≥4胞胎对比测量分析，胎儿生长曲线显示等；</w:t>
      </w:r>
    </w:p>
    <w:p w14:paraId="5DDB0BD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4.5.3、产科自动测量：可以对产科常见部位进行自动切面分析及自动测量轨迹设定，同时得出测量结果和分析数据，可自动识别并测量≥5项生理指标；</w:t>
      </w:r>
    </w:p>
    <w:p w14:paraId="1868A18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4.5.4、自动NT测量：系统自动识别符合测量标准的胎儿颈项透明层图像特征并自动放置测量卡尺输出NT测量结果；</w:t>
      </w:r>
    </w:p>
    <w:p w14:paraId="4B9CB9DE">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4.5.5、血管内中膜自动测量（支持在凸阵和线阵探头下应用），冻结或实时状态下均可同屏自动描迹测量内中膜前后膜，测量框大小可自由调整，测量结束后测量框自动隐藏，可对内中膜最厚处自动进行箭头标记，自动计算最大值、最小值、平均值、测量长度、标准差（SD）等测量结果，可自动对测量结果进行评估，显示出内中膜状态；</w:t>
      </w:r>
    </w:p>
    <w:p w14:paraId="3F8788A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4.6、实时频谱自动跟踪包络测量功能：系统实时自动跟踪包络自动分析显示：PSV、EDV、RI、PI、S/D、ACC、HR等各种数据；</w:t>
      </w:r>
    </w:p>
    <w:p w14:paraId="2228C329">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5、图像储存及管理系统：</w:t>
      </w:r>
    </w:p>
    <w:p w14:paraId="08D8270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5.1、多种导出图像格式：动态图像、静态图像以PC格式直接导出，无需特殊软件即能在普通PC 机上直接观看图像。并可支持市面上的常规U盘、移动硬盘、外接光驱储存；</w:t>
      </w:r>
    </w:p>
    <w:p w14:paraId="1DC4C96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5.2、电影回放存储帧数 ≥9000帧；</w:t>
      </w:r>
    </w:p>
    <w:p w14:paraId="5A0AB7E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5.3、电影回放速度可调节，包括快速播放和慢速播放；</w:t>
      </w:r>
    </w:p>
    <w:p w14:paraId="4946A3E5">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5.4、导出、备份图像数据资料同时，可进行实时检查，不影响检查操作；</w:t>
      </w:r>
    </w:p>
    <w:p w14:paraId="7AE00F52">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5.5、电影录制功能，可录制≥60分钟的AVI格式电影；</w:t>
      </w:r>
    </w:p>
    <w:p w14:paraId="4C4F6D9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5.6、操作面板可左右旋转各、可升降；</w:t>
      </w:r>
    </w:p>
    <w:p w14:paraId="47CA6286">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5.7、背光键盘0%－100%可调；</w:t>
      </w:r>
    </w:p>
    <w:p w14:paraId="1CC45E0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5.8、自定义编程功能：可以对检查类型的系统设备进行预设，均可以自定义存储键是存储图片还是电影文件；</w:t>
      </w:r>
    </w:p>
    <w:p w14:paraId="3DE5ACE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5.9、中英文输入；</w:t>
      </w:r>
    </w:p>
    <w:p w14:paraId="684476E7">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5.10、专科测量项目可设置在触摸屏上，也可设置在显示器上，并支持连续测量。</w:t>
      </w:r>
    </w:p>
    <w:p w14:paraId="19D1D0E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6、探头规格：</w:t>
      </w:r>
    </w:p>
    <w:p w14:paraId="169E7135">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6.1、可支持选配的探头类型：双凸双平面探头、相控阵探头、经阴道探头、腹部容积探头等；</w:t>
      </w:r>
    </w:p>
    <w:p w14:paraId="7406F4D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6.2、频率：所有探头均为宽频变频探头，频率带宽2.0-12.0MHz（与探头种类有关），二维频率≥8种变频；</w:t>
      </w:r>
    </w:p>
    <w:p w14:paraId="26E9CC09">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6.3、可选购双平面探头：只需连接（占用）一个探头插座，即可实现双平面探头的双凸阵声头同时扫查，实时显示双幅凸阵图像，能同时观察矢状面的凸阵图像和横断面的凸阵图像；</w:t>
      </w:r>
    </w:p>
    <w:p w14:paraId="0AAA54E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6.4、支持相控阵探头≥90°，调节角度时参数区域能实时显示角度；</w:t>
      </w:r>
    </w:p>
    <w:p w14:paraId="16F7A8BF">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6.5、具有探头自动冻结功能：≥3种时间选择，可有效保护探头，延长使用寿命；</w:t>
      </w:r>
    </w:p>
    <w:p w14:paraId="40766DF2">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6.6、可设置快速切换探头按键：一键操作从当前探头快速切换到配置的任意一探头，中间无需通过触摸屏或其他按键操作；</w:t>
      </w:r>
    </w:p>
    <w:p w14:paraId="2B196253">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7、外设和附件：</w:t>
      </w:r>
    </w:p>
    <w:p w14:paraId="691CCBD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7.1、内置DVD可刻录光驱；</w:t>
      </w:r>
    </w:p>
    <w:p w14:paraId="49A8243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7.2、连通性：主机内置通信DICOM3.0版接口部件；</w:t>
      </w:r>
    </w:p>
    <w:p w14:paraId="3F77933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7.3、主机内置输入输出接口：包括但不限于HDMI输出接口、VGA输出接口、S端子视频输出接口、复合视频接口、音频输出接口、音频输入接口等；</w:t>
      </w:r>
    </w:p>
    <w:p w14:paraId="0E6AD398">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★8、配置要求： </w:t>
      </w:r>
    </w:p>
    <w:p w14:paraId="51570AB4">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8.1、全数字彩色多普勒超声主机（含）：1台；</w:t>
      </w:r>
    </w:p>
    <w:p w14:paraId="3FC72AC0">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8.2、高清彩色液晶显示器 1台；</w:t>
      </w:r>
    </w:p>
    <w:p w14:paraId="1CB8138C">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8.3、探头：腹部探头、浅表探头、心脏探头、腔内探头各1把；</w:t>
      </w:r>
    </w:p>
    <w:p w14:paraId="7C5C89D1">
      <w:pPr>
        <w:pStyle w:val="2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8.4、HDMI高清采集卡：1张。</w:t>
      </w:r>
    </w:p>
    <w:p w14:paraId="3C9E69D5">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36FE0022">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序号5、医用冷藏箱</w:t>
      </w:r>
    </w:p>
    <w:p w14:paraId="2E68596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1、立式，双开玻璃门；</w:t>
      </w:r>
    </w:p>
    <w:p w14:paraId="1A97301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2、有效容积：≥775L；</w:t>
      </w:r>
    </w:p>
    <w:p w14:paraId="55BC858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3、箱体采用预涂钢板；</w:t>
      </w:r>
    </w:p>
    <w:p w14:paraId="52CD59F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4、内胆采用喷涂镀锌板，耐腐蚀；</w:t>
      </w:r>
    </w:p>
    <w:p w14:paraId="1C4E1AC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5、采用新一代LBA＋无氟聚氨酯发泡技术；</w:t>
      </w:r>
    </w:p>
    <w:p w14:paraId="3176EB4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6、箱内配置LED照明灯，柜内试剂一目了然；</w:t>
      </w:r>
    </w:p>
    <w:p w14:paraId="65F73C7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7、配置进口压缩机与风机，采用碳氢制冷剂；</w:t>
      </w:r>
    </w:p>
    <w:p w14:paraId="19BB043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8、门体自带暗锁；</w:t>
      </w:r>
    </w:p>
    <w:p w14:paraId="1A2CCF4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9、配置4个万向脚轮和2个支脚；</w:t>
      </w:r>
    </w:p>
    <w:p w14:paraId="68818D4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10、具备LED数码管显示，实时显示箱内温度显示精度0.1℃；</w:t>
      </w:r>
    </w:p>
    <w:p w14:paraId="6A64C93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11、产品采用高密度钢丝浸塑搁架，多层搁架设计，搁架间距可调，标配12个搁架+2个筐篮，数量可根据用户需求增加；</w:t>
      </w:r>
    </w:p>
    <w:p w14:paraId="7072D51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12、采用翅片式蒸发器和钢丝冷凝器，具备自然化霜功能；</w:t>
      </w:r>
    </w:p>
    <w:p w14:paraId="5B651CC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13、微电脑温控技术：采用高精度5路传感器设计，箱内上部温度下部温度以及平均值，包括控制传感器，显示传感器，冷凝器传感器；</w:t>
      </w:r>
    </w:p>
    <w:p w14:paraId="7B52A2B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14、大风机和分层送风技术，确保温度均匀性≤1℃，波动度≤2℃（提供省级及以上医疗器械质量检测机构出具的检验报告证明）；</w:t>
      </w:r>
    </w:p>
    <w:p w14:paraId="5C5BBD5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15、产品运行时，噪音值≤47db（A）；</w:t>
      </w:r>
    </w:p>
    <w:p w14:paraId="5F6BBF9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16、产品整体能耗≤2.8kw·h/24h（提供省级及上医疗器械质量检测机构出具的检验报告证明）；</w:t>
      </w:r>
    </w:p>
    <w:p w14:paraId="44A07F4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17、产品具备多重报警功能，其中包括高低温报警，开门报警，传感器故障报警，断电报警，电池电量低报警；</w:t>
      </w:r>
    </w:p>
    <w:p w14:paraId="51DB4FE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18、声音蜂鸣、灯光闪烁，选配远程报警等报警方式；</w:t>
      </w:r>
    </w:p>
    <w:p w14:paraId="33EBD91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19、配置后备电池，满足断电后产品箱内实时温度，持续时间≥48小时；</w:t>
      </w:r>
    </w:p>
    <w:p w14:paraId="57FA9C6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20、标配USB数据接口，可自由调整数据记录时间，可通过前置USB数据接口读取数据，插入U盘后可导出使用期间所有数据，数据以图表形式呈现，温度数据可存储十年，实现温度数据的可追溯性，配置后备电池，可提供不少于48小时显示及报警功能；</w:t>
      </w:r>
    </w:p>
    <w:p w14:paraId="791D164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21、标配5V冷链供电系统，RS485，TTL通讯口，WIFI连接等多种接口；</w:t>
      </w:r>
    </w:p>
    <w:p w14:paraId="031E3C5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22、门体采用三层钢化玻璃门，采用LOW-E离线镀膜设计，实现32℃环温80% 湿度条件下无凝露，门体配备自闭门设计，门体采用低于90°自动关闭；</w:t>
      </w:r>
    </w:p>
    <w:p w14:paraId="0BA9BAD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23、当控制/报警传感器发生故障时，压缩机以开机5分钟、停机6分钟规律运作；</w:t>
      </w:r>
    </w:p>
    <w:p w14:paraId="71918BC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24、采用自蒸发式冷凝水处理方式；</w:t>
      </w:r>
    </w:p>
    <w:p w14:paraId="7BDC15A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25、门开风扇电机停止运行，门关风扇电机自动开始运行；</w:t>
      </w:r>
    </w:p>
    <w:p w14:paraId="4508164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26、标配1个测试孔。</w:t>
      </w:r>
    </w:p>
    <w:p w14:paraId="50D0DFA8">
      <w:pPr>
        <w:pStyle w:val="26"/>
        <w:keepNext w:val="0"/>
        <w:keepLines w:val="0"/>
        <w:pageBreakBefore w:val="0"/>
        <w:kinsoku/>
        <w:wordWrap/>
        <w:overflowPunct/>
        <w:topLinePunct w:val="0"/>
        <w:bidi w:val="0"/>
        <w:snapToGrid/>
        <w:spacing w:line="360" w:lineRule="auto"/>
        <w:ind w:right="0" w:rightChars="0" w:firstLine="0" w:firstLineChars="0"/>
        <w:jc w:val="both"/>
        <w:rPr>
          <w:rFonts w:hint="eastAsia" w:ascii="宋体" w:hAnsi="宋体" w:eastAsia="宋体" w:cs="宋体"/>
          <w:b/>
          <w:bCs w:val="0"/>
          <w:color w:val="auto"/>
          <w:kern w:val="0"/>
          <w:sz w:val="21"/>
          <w:szCs w:val="21"/>
          <w:highlight w:val="none"/>
          <w:lang w:val="en-US" w:eastAsia="zh-CN" w:bidi="ar-SA"/>
        </w:rPr>
      </w:pPr>
    </w:p>
    <w:p w14:paraId="34CFBC0F">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序号6、巡诊箱</w:t>
      </w:r>
    </w:p>
    <w:p w14:paraId="668A2E3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1、箱体：铝合金框架，ABS面板，带安全锁扣，防震内衬隔断；尺寸350×230×230mm（±10mm）；防水、抗压，便于手提携带；</w:t>
      </w:r>
    </w:p>
    <w:p w14:paraId="1036FE8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2.标配仪器套件：</w:t>
      </w:r>
    </w:p>
    <w:p w14:paraId="197F4A7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2.1、水银/电子血压计、听诊器、红外额温枪、血氧饱和度仪；</w:t>
      </w:r>
    </w:p>
    <w:p w14:paraId="5F92024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2.2、手电筒、压舌板、止血带、碘伏罐、纱布、镊子、剪刀；</w:t>
      </w:r>
    </w:p>
    <w:p w14:paraId="76D2C5B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2.3、收纳隔层，分区存放器械、耗材、评估表单。</w:t>
      </w:r>
    </w:p>
    <w:p w14:paraId="5C74F364">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63FC8324">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序号7、特定电磁波治疗器</w:t>
      </w:r>
    </w:p>
    <w:p w14:paraId="7DCBA2A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1、波谱范围：2μm～25μm，辐射板直径≥Φ166mm；额定功率250W～270W；</w:t>
      </w:r>
    </w:p>
    <w:p w14:paraId="722BD4B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2、支架结构：落地立式，多段可伸缩支臂，伸缩行程≥500mm；治疗头可360°旋转、俯仰多角度调节，任意位置锁止；</w:t>
      </w:r>
    </w:p>
    <w:p w14:paraId="4DE1581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3、底座：加重五脚底座，带静音万向轮+刹车锁止，防倾倒；整机底座重量≥6kg；</w:t>
      </w:r>
    </w:p>
    <w:p w14:paraId="247973B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4、定时功能：电子/机械计时器，0～60min可调；计时结束自动停机并声光提示；</w:t>
      </w:r>
    </w:p>
    <w:p w14:paraId="61D890E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5、安全保护：倾倒自动断电、过热保护；带防护网罩，防止烫伤；加热器使用寿命≥2000小时；</w:t>
      </w:r>
    </w:p>
    <w:p w14:paraId="75EC6A0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6.电源：AC220V，50Hz；I类B型设备。</w:t>
      </w:r>
    </w:p>
    <w:p w14:paraId="7C068EA7">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55B1792C">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1F5AB483">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序号8、中药熏蒸治疗仪</w:t>
      </w:r>
    </w:p>
    <w:p w14:paraId="09C5066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1、额定输入功率：2300VA；</w:t>
      </w:r>
    </w:p>
    <w:p w14:paraId="230EBF8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2、电源电压：220V±22V，频率50Hz±5Hz；</w:t>
      </w:r>
    </w:p>
    <w:p w14:paraId="25534CD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3、主机尺寸：长680mm，宽550mm，高1270mm，允差±10%；</w:t>
      </w:r>
    </w:p>
    <w:p w14:paraId="3C10DB5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4、1个加热容器、2个摆臂、2个喷头，双通道，可同时使用，也可单独控制喷头使用；</w:t>
      </w:r>
    </w:p>
    <w:p w14:paraId="43B5B85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5、锅内内置带过滤功能的蒸汽输出装置，防止药渣进入，堵塞蒸汽管道；可拆卸；</w:t>
      </w:r>
    </w:p>
    <w:p w14:paraId="43DC23A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6、微电脑控制操作系统，≥8寸高清触控屏操作；</w:t>
      </w:r>
    </w:p>
    <w:p w14:paraId="2A317C0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7、摆臂活动范围：治疗仪第一节转臂活动角度0～90°，水平转动范围0～180°；第二节转臂活动角度0～90°，水平转动范围0～180°；允差为±10%；</w:t>
      </w:r>
    </w:p>
    <w:p w14:paraId="1788A38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8、熏蒸时间: 10分钟，15分钟，20分钟，25分钟，30分钟，35分钟，40分钟，45分钟，允差±30s。当完成熏蒸时间时,治疗仪停止输出蒸汽,并有相应的提示信息；</w:t>
      </w:r>
    </w:p>
    <w:p w14:paraId="57E8AA7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9、具有传感器测量皮肤温度及实时显示功能，皮肤温度感应采用接触式探头，精准度高，测量范围20℃～99℃，精度±1℃；</w:t>
      </w:r>
    </w:p>
    <w:p w14:paraId="6CB8EFB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10、蒸汽输出口有防烫伤的装置和警示；</w:t>
      </w:r>
    </w:p>
    <w:p w14:paraId="33AAA55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11、加热容器容量9L，最大加液量6L；</w:t>
      </w:r>
    </w:p>
    <w:p w14:paraId="388455A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12、具有对预热功能进行预约的功能，预约时间设置范围：5min～90min，步进5min,允差为±30s；</w:t>
      </w:r>
    </w:p>
    <w:p w14:paraId="602B87E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13、药液预热功能，预热功率8档可调，步进1档，预热温度设置：80℃～100℃，步进5℃，允差±3℃；</w:t>
      </w:r>
    </w:p>
    <w:p w14:paraId="7F3AEF8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14、预加热时间：≤15min(水量适中1.8L)，药液从常温加热到95℃时间≤15分钟；</w:t>
      </w:r>
    </w:p>
    <w:p w14:paraId="10FFA5F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15、熏蒸量：药液蒸汽输出功率1档～8档可调，步进1档，最大档位熏蒸量≤4000mL/h；</w:t>
      </w:r>
    </w:p>
    <w:p w14:paraId="0B550E4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16、体温探头检测到皮肤温度超过45℃时，治疗仪有提示音；</w:t>
      </w:r>
    </w:p>
    <w:p w14:paraId="326F701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17、采用直径≥16mm排液管路；</w:t>
      </w:r>
    </w:p>
    <w:p w14:paraId="1C47E4E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18、实时药液温度显示和皮肤温度显示；</w:t>
      </w:r>
    </w:p>
    <w:p w14:paraId="2B45FFD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19、实时状态提示和语音提示功能，可设置语音音量，1-4档循环设置，治疗开始时有语音提示，提醒操作人员保持正确的熏蒸距离；</w:t>
      </w:r>
    </w:p>
    <w:p w14:paraId="3D01B25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20、具有喷头，防止锅内沸水从喷头喷出；</w:t>
      </w:r>
    </w:p>
    <w:p w14:paraId="20FF47D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21、废液可以排入水桶或者排入下水道；</w:t>
      </w:r>
    </w:p>
    <w:p w14:paraId="3F7D871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22、具有冷凝水收集系统；</w:t>
      </w:r>
    </w:p>
    <w:p w14:paraId="6097FEE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23、喷头处有（耐高温）安全隔离罩；</w:t>
      </w:r>
    </w:p>
    <w:p w14:paraId="43E1A64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24、具有防烫伤水汽隔离装置与回流式喷嘴腔；</w:t>
      </w:r>
    </w:p>
    <w:p w14:paraId="0210DF4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25、具有可承压加热容器，可判断容器内部最低水量；</w:t>
      </w:r>
    </w:p>
    <w:p w14:paraId="3169315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yellow"/>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26、具有有排废液双重保护方式；</w:t>
      </w:r>
    </w:p>
    <w:p w14:paraId="303E316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27、预约加热功能；</w:t>
      </w:r>
    </w:p>
    <w:p w14:paraId="10C5830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28、防干烧功能，三重保护且状态提示。液体量少于规定量时为缺液状态时，切断加热电源且屏幕对应通道闪烁并语音提示缺液；</w:t>
      </w:r>
    </w:p>
    <w:p w14:paraId="6635753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29、蒸汽压力锅具备安全阀，泄气阀，压力阀等多重超压保护措施，锅体优选食品级304加工；</w:t>
      </w:r>
    </w:p>
    <w:p w14:paraId="267F67F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30、机身材质ABS；</w:t>
      </w:r>
    </w:p>
    <w:p w14:paraId="19720EB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31、加热方式为专业加热盘加热，加热效率高，耐高温，防火；</w:t>
      </w:r>
    </w:p>
    <w:p w14:paraId="5D12928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yellow"/>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32、蒸汽喷头附近有防烫伤标识，并且设备有语音提示；</w:t>
      </w:r>
    </w:p>
    <w:p w14:paraId="408E4A3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33、蒸汽喷头处内置红外温度传感器，与接触式皮肤探头可以配合使用；</w:t>
      </w:r>
    </w:p>
    <w:p w14:paraId="491A08A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34、具有安全保护功能；</w:t>
      </w:r>
    </w:p>
    <w:p w14:paraId="3D9D83F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35、具有两路独立的超温保护装置，两路测温系统，体温探头测温和红外温度传感器测温；治疗仪超过预警温度45℃时,第一路保护装置启动,停止加热；当温度降低到预警温度40℃以下后恢复加热。如果第一路保护装置失效造成患者皮肤温度升高至50℃时,第二路保护装置立即启动,切断加热电源，可手动恢复；</w:t>
      </w:r>
    </w:p>
    <w:p w14:paraId="461A0AA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36、测量皮肤温度≥50℃时，出现警示界面；</w:t>
      </w:r>
    </w:p>
    <w:p w14:paraId="00C51EB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37、自动释压调节功能：加热容器压力超过限定压力时，释压阀动作进行自动释压至档位压力以下；</w:t>
      </w:r>
    </w:p>
    <w:p w14:paraId="4CDB8EE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38、治疗仪在正常工作时的噪声≤55dB(A）；</w:t>
      </w:r>
    </w:p>
    <w:p w14:paraId="5E50F0C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39、泄压功能：治疗结束，能够对加热容器压力进行触控泄压,排出剩余压力；</w:t>
      </w:r>
    </w:p>
    <w:p w14:paraId="7194099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40、具有自动漏电保护功能；</w:t>
      </w:r>
    </w:p>
    <w:p w14:paraId="2B50A20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41、具有故障自动检测及报警功能；</w:t>
      </w:r>
    </w:p>
    <w:p w14:paraId="76705D0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42、具有超温、超压、缺液保护并具有声响提示，缺液报警并停止加热；</w:t>
      </w:r>
    </w:p>
    <w:p w14:paraId="52D4B2C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43、具有手动排液功能；</w:t>
      </w:r>
    </w:p>
    <w:p w14:paraId="5CF3D78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44、具有熏蒸过程中暂停功能；</w:t>
      </w:r>
    </w:p>
    <w:p w14:paraId="2EE3A7B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45、熏蒸锅内设置具有过滤功能的蒸汽输出装置，防止药渣进入，堵塞蒸汽管道，蒸汽输出装置随时可拆卸；</w:t>
      </w:r>
    </w:p>
    <w:p w14:paraId="3DFBD7C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46、药液低于安全液位时（＜300ml），出现警示并自动停止工作；</w:t>
      </w:r>
    </w:p>
    <w:p w14:paraId="6CDC51F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47、治疗结束、预热达到设定温度时及缺液具有声音提示；</w:t>
      </w:r>
    </w:p>
    <w:p w14:paraId="10B957B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48、支臂材质ABS+碳钢；</w:t>
      </w:r>
    </w:p>
    <w:p w14:paraId="6142809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49、当熏蒸锅加热药液温度达到95℃时，开始有蒸汽喷出，药液温度达到100℃时，蒸汽保持稳定输出,锅内气压超过80Kpa后，锅盖自动进行泄压保护；</w:t>
      </w:r>
    </w:p>
    <w:p w14:paraId="570A414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50、连续工作时间≥8 小时；</w:t>
      </w:r>
    </w:p>
    <w:p w14:paraId="031A9C2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51、使用年限：10年（提供铭牌照片证明）；</w:t>
      </w:r>
    </w:p>
    <w:p w14:paraId="3EB4966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52、产品具有过电流、过电压保护功能。</w:t>
      </w:r>
    </w:p>
    <w:p w14:paraId="47A21CDE">
      <w:pPr>
        <w:pStyle w:val="26"/>
        <w:keepNext w:val="0"/>
        <w:keepLines w:val="0"/>
        <w:pageBreakBefore w:val="0"/>
        <w:kinsoku/>
        <w:wordWrap/>
        <w:overflowPunct/>
        <w:topLinePunct w:val="0"/>
        <w:bidi w:val="0"/>
        <w:snapToGrid/>
        <w:spacing w:line="360" w:lineRule="auto"/>
        <w:ind w:right="0" w:rightChars="0" w:firstLine="0" w:firstLineChars="0"/>
        <w:jc w:val="both"/>
        <w:rPr>
          <w:rFonts w:hint="eastAsia" w:ascii="宋体" w:hAnsi="宋体" w:eastAsia="宋体" w:cs="宋体"/>
          <w:b/>
          <w:bCs w:val="0"/>
          <w:color w:val="auto"/>
          <w:kern w:val="0"/>
          <w:sz w:val="21"/>
          <w:szCs w:val="21"/>
          <w:highlight w:val="none"/>
          <w:lang w:val="en-US" w:eastAsia="zh-CN" w:bidi="ar-SA"/>
        </w:rPr>
      </w:pPr>
    </w:p>
    <w:p w14:paraId="69D785B1">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序号9、电子轮椅体重秤</w:t>
      </w:r>
    </w:p>
    <w:p w14:paraId="4EAA13C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1、最大称量≥300kg，分度值0.1kg，准确度III级；误差≤±0.1kg；</w:t>
      </w:r>
    </w:p>
    <w:p w14:paraId="1547D57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2、台面尺寸：≥800×800mm，超低台面高度≤65mm，自带双侧防滑斜坡，轮椅可直接推上；</w:t>
      </w:r>
    </w:p>
    <w:p w14:paraId="37C14EA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3、双侧带固定式安全扶手；碳钢喷塑或304不锈钢；防滑花纹钢板台面；带刹车万向轮；</w:t>
      </w:r>
    </w:p>
    <w:p w14:paraId="4754DEB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4、显示仪表：LCD背光大屏；支持置零、去皮、体重锁定、kg/lb切换；</w:t>
      </w:r>
    </w:p>
    <w:p w14:paraId="420D0F8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5、供电：AC220V外接电源+内置充电电池，交直流两用，内置电池连续使用≥24小时； </w:t>
      </w:r>
    </w:p>
    <w:p w14:paraId="2901068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6、防护：过载保护、防抖动滤波；整机防潮防锈。</w:t>
      </w:r>
    </w:p>
    <w:p w14:paraId="75D29A61">
      <w:pPr>
        <w:pStyle w:val="26"/>
        <w:keepNext w:val="0"/>
        <w:keepLines w:val="0"/>
        <w:pageBreakBefore w:val="0"/>
        <w:kinsoku/>
        <w:wordWrap/>
        <w:overflowPunct/>
        <w:topLinePunct w:val="0"/>
        <w:bidi w:val="0"/>
        <w:snapToGrid/>
        <w:spacing w:line="360" w:lineRule="auto"/>
        <w:ind w:right="0" w:rightChars="0" w:firstLine="0" w:firstLineChars="0"/>
        <w:jc w:val="both"/>
        <w:rPr>
          <w:rFonts w:hint="eastAsia" w:ascii="宋体" w:hAnsi="宋体" w:eastAsia="宋体" w:cs="宋体"/>
          <w:b/>
          <w:bCs w:val="0"/>
          <w:color w:val="auto"/>
          <w:kern w:val="0"/>
          <w:sz w:val="21"/>
          <w:szCs w:val="21"/>
          <w:highlight w:val="none"/>
          <w:lang w:val="en-US" w:eastAsia="zh-CN" w:bidi="ar-SA"/>
        </w:rPr>
      </w:pPr>
    </w:p>
    <w:p w14:paraId="66AAE949">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序号10、关节活动度评定设备</w:t>
      </w:r>
    </w:p>
    <w:p w14:paraId="014BD2F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1、表盘直径：Φ65mm±3m；</w:t>
      </w:r>
    </w:p>
    <w:p w14:paraId="688ED17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2、表盘的旋转角度：360°</w:t>
      </w:r>
    </w:p>
    <w:p w14:paraId="7E09D24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3、角度指针指示的角度允差：±3°</w:t>
      </w:r>
    </w:p>
    <w:p w14:paraId="5EA32D4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4、用途：用于关节伸曲角度测量。</w:t>
      </w:r>
    </w:p>
    <w:p w14:paraId="6C7C4263">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6965937D">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序号11、等速训练仪</w:t>
      </w:r>
    </w:p>
    <w:p w14:paraId="4563ECA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▲1、采用电磁阻力技术；</w:t>
      </w:r>
    </w:p>
    <w:p w14:paraId="3FF132D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2、具备以下测试和训练功能：</w:t>
      </w:r>
    </w:p>
    <w:p w14:paraId="5E75C49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 等长测试，具有最大力和耐力测试功能，能够在不少于3个不同测量位执行测试，位置由系统自动定义；</w:t>
      </w:r>
    </w:p>
    <w:p w14:paraId="6C290D9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 等张测试，具有1-RM直接测试和间接测试；</w:t>
      </w:r>
    </w:p>
    <w:p w14:paraId="03CBAD6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 等速测试，具有向心、离心模式下的肌肉耐力、最大力测试功能；</w:t>
      </w:r>
    </w:p>
    <w:p w14:paraId="609346E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 等张训练：</w:t>
      </w:r>
    </w:p>
    <w:p w14:paraId="58D316B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2.4.1 模拟的阻力形式不少于三种；</w:t>
      </w:r>
    </w:p>
    <w:p w14:paraId="70D6D68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▲2.4.2 具有向心与离心组合训练功能，可分别设置向心和离心阻力和时间比例；</w:t>
      </w:r>
    </w:p>
    <w:p w14:paraId="27D4BA3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2.4.3 具有运动轨迹手动调整和实时反馈功能，可通过设置运动轨迹的达标标准来改变训练难度；  </w:t>
      </w:r>
    </w:p>
    <w:p w14:paraId="716D70D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 等速训练：</w:t>
      </w:r>
    </w:p>
    <w:p w14:paraId="2C787A7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2.5.1 可设置角速度；</w:t>
      </w:r>
    </w:p>
    <w:p w14:paraId="235B946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2.5.2 通过柱形图实时反馈力矩大小；</w:t>
      </w:r>
    </w:p>
    <w:p w14:paraId="1E737F5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 配备彩色交互式触摸屏，屏幕尺寸≥13英寸；</w:t>
      </w:r>
    </w:p>
    <w:p w14:paraId="410503D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 软件功能要求：</w:t>
      </w:r>
    </w:p>
    <w:p w14:paraId="6206A9D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4.1软件内置于彩色触摸屏，支持独立操作，无需联网；</w:t>
      </w:r>
    </w:p>
    <w:p w14:paraId="0EC2013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4.2 可精确设定测试者的实际运动范围，精确到1°；</w:t>
      </w:r>
    </w:p>
    <w:p w14:paraId="40E41C1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4.3 支持快速设置训练参数，可存储测试报告，打印测训记录；</w:t>
      </w:r>
    </w:p>
    <w:p w14:paraId="62937C5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4.4 支持用户测训数据导出为Excel格式；</w:t>
      </w:r>
    </w:p>
    <w:p w14:paraId="724D5FE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5、系统生成报告要求：</w:t>
      </w:r>
    </w:p>
    <w:p w14:paraId="484C922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▲5.1 、测试报告分为等速、等长、等张三类，其中等速报告含等速测试耐力、等速测试最大力报告；等长报告含等长测试耐力、等长测试最大力报告；等张报告含1RM、XRM、重复变化测试报告； </w:t>
      </w:r>
    </w:p>
    <w:p w14:paraId="74851E6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5.2、等速报告：包含速度、次数、ROM、峰值力矩、峰值力量、平均峰值力矩、峰力矩/体重、最大做功、平均做功、最大做功/体重、最大功率、平均功率、疲劳指数等数据；可通过折线图显示单次测试力矩-位置曲线和平均曲线； </w:t>
      </w:r>
    </w:p>
    <w:p w14:paraId="29F0AB6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5.3、等长报告：包含持续时间、重复次数、峰值力矩、峰值力量、平均力矩、平均力量、峰力矩/体重、达到峰力矩时间、启动力矩、爆发力矩、耐力指数等数据；可通过折线图显示力矩-时间曲线； </w:t>
      </w:r>
    </w:p>
    <w:p w14:paraId="02C3486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5.4、等张报告：包含重量、重复次数、XRM、1RM、1RM/BW等数据；可通过柱形图显示设置重量；</w:t>
      </w:r>
    </w:p>
    <w:p w14:paraId="60299AD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6、最大运动速度≥130°/s；</w:t>
      </w:r>
    </w:p>
    <w:p w14:paraId="3080120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7、配备急停按键；</w:t>
      </w:r>
    </w:p>
    <w:p w14:paraId="0C46359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8、训练臂长度和靠背前后电动调节。</w:t>
      </w:r>
    </w:p>
    <w:p w14:paraId="74DDB579">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04D3DDB4">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序号12、床边下肢康复机</w:t>
      </w:r>
    </w:p>
    <w:p w14:paraId="2DE0B62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Times New Roman"/>
          <w:b/>
          <w:bCs/>
          <w:color w:val="auto"/>
          <w:kern w:val="2"/>
          <w:sz w:val="21"/>
          <w:szCs w:val="21"/>
          <w:highlight w:val="none"/>
          <w:lang w:val="en-US" w:eastAsia="zh-CN" w:bidi="ar-SA"/>
        </w:rPr>
        <w:t>1、技术参数：</w:t>
      </w:r>
    </w:p>
    <w:p w14:paraId="44CD7C1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1.1、规格（长×宽×高）：1230mm×600mm×1300mm,允差±50mm；</w:t>
      </w:r>
    </w:p>
    <w:p w14:paraId="1B931AB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1.2、输入功率：200VA；</w:t>
      </w:r>
    </w:p>
    <w:p w14:paraId="356E7A7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1.3、显示方式：≥14寸液晶触摸显示屏；</w:t>
      </w:r>
    </w:p>
    <w:p w14:paraId="75F97A8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1.4、机身底部采用4个万向活动给脚轮+固定脚支撑，脚踏式控制锁止开关；</w:t>
      </w:r>
    </w:p>
    <w:p w14:paraId="0C0272E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1.5、正、反向被动圆周运动时，旋转速度可调节。旋转速度调节范围均为1r/min～60r/min，步距 1r/min；空载转速允差±10%或±3r/min，二者取大值；</w:t>
      </w:r>
    </w:p>
    <w:p w14:paraId="4E57A45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1.6、触控液晶屏在明显位置实时显示被动圆周运动转速监测值，允差±10%或±2r/min，二者取大值；</w:t>
      </w:r>
    </w:p>
    <w:p w14:paraId="1091CB6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1.7、转速变化率小于 0.5r/s²；</w:t>
      </w:r>
    </w:p>
    <w:p w14:paraId="03F81BC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1.8、高度方向可以调节，调节范围 0cm～35cm；</w:t>
      </w:r>
    </w:p>
    <w:p w14:paraId="2CE0767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1.9、训练悬臂伸缩连续可调：0～180mm，允差±10%；</w:t>
      </w:r>
    </w:p>
    <w:p w14:paraId="27472F6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1.10、液晶屏悬臂水平角度360°连续可调；</w:t>
      </w:r>
    </w:p>
    <w:p w14:paraId="745EC8D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1.11、腿托组件承重25kg；</w:t>
      </w:r>
    </w:p>
    <w:p w14:paraId="79782E4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1.12、脚蹬高度连续可调：885mm～1235mm，允差±10%；</w:t>
      </w:r>
    </w:p>
    <w:p w14:paraId="0F700BC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1.13、训练时间设定0-60min，步距1min，允差±5s；</w:t>
      </w:r>
    </w:p>
    <w:p w14:paraId="52A8DB2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1.14、自动换向时间间隔设置范围：0～20min，步距 1min，允差±5s；当间隔为 0 时，不换向；</w:t>
      </w:r>
    </w:p>
    <w:p w14:paraId="56D30B0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1.15、训练速度1-60级可调；</w:t>
      </w:r>
    </w:p>
    <w:p w14:paraId="6C7E194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1.16、主动训练阻力1-20级可调，步距1级，并在液晶触控屏相对显示阻力等级；</w:t>
      </w:r>
    </w:p>
    <w:p w14:paraId="7083C4D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1.17、主动训练转速1r/min～100r/min，转速监测允差±10%或±2r/min，二者取大值；</w:t>
      </w:r>
    </w:p>
    <w:p w14:paraId="7F51609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1.18、训练方向：具有训练方向定时自动切换和手动切换功能，在训练过程中可以改变方向；</w:t>
      </w:r>
    </w:p>
    <w:p w14:paraId="5EB6C7E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Times New Roman"/>
          <w:b/>
          <w:bCs/>
          <w:color w:val="auto"/>
          <w:kern w:val="2"/>
          <w:sz w:val="21"/>
          <w:szCs w:val="21"/>
          <w:highlight w:val="none"/>
          <w:lang w:val="en-US" w:eastAsia="zh-CN" w:bidi="ar-SA"/>
        </w:rPr>
        <w:t>2、主要功能：</w:t>
      </w:r>
    </w:p>
    <w:p w14:paraId="2530331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2.1、针对卧床患者下肢主、被动自动控制训练，根据患者运动状态自动切换主动模式和被动模式；</w:t>
      </w:r>
    </w:p>
    <w:p w14:paraId="0EE332E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2.2、具有主动、被动模式，可进行正、反向主动、被动圆周运动；</w:t>
      </w:r>
    </w:p>
    <w:p w14:paraId="1488946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2.3、一键定制训练套餐，触控液晶屏可显示、编辑训练参数：训练时间、运动方向、训练模式、训练处方、主动运动阻力、痉挛保护等级等；</w:t>
      </w:r>
    </w:p>
    <w:p w14:paraId="59F8EB0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2.4、训练期间显示：运动时间、运动阻力、运动速度、运动方向、对称性、主被动及痉挛显示；</w:t>
      </w:r>
    </w:p>
    <w:p w14:paraId="60EEB82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2.5、训练结束后分别显示训练总数据、被动训练数据及主动训练数据，包含：运动里程、运动时间、平均速度、向前向后训练时间及里程，训练消耗热量、痉挛次数、痉挛等级、左右肢体对称性等；</w:t>
      </w:r>
    </w:p>
    <w:p w14:paraId="78D08BB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▲2.6、配备微型打印机，本机训练数据自动存储、一键打印；</w:t>
      </w:r>
    </w:p>
    <w:p w14:paraId="5F5FFC8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2.7、左右肢对称性监测，实时以图示方式显示肌力对称性信息，同时带有相对比例数据；</w:t>
      </w:r>
    </w:p>
    <w:p w14:paraId="7DA3179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yellow"/>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▲2.8、支持医师PC端给患者建档，数据实现：U盘驱动、WiFi传输、网络传输三种模式；</w:t>
      </w:r>
    </w:p>
    <w:p w14:paraId="7AE2671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2.9、提供多种训练轻音乐伴奏；</w:t>
      </w:r>
    </w:p>
    <w:p w14:paraId="2619E05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2.10、具有3D动画训练功能；</w:t>
      </w:r>
    </w:p>
    <w:p w14:paraId="0C296F8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2.11、痉挛保护功能：自动检测，自动释放。痉挛保护可进行关闭或开启设置；</w:t>
      </w:r>
    </w:p>
    <w:p w14:paraId="0CBA536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2.12、痉挛保护模式有三级，分别是敏感、标准、不敏感；</w:t>
      </w:r>
    </w:p>
    <w:p w14:paraId="4F5674C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2.13、痉挛保护应在（延迟时间+2s）内被激活，痉挛保护激活时伴有声音提示信号，该信号持续到手动将其关闭；</w:t>
      </w:r>
    </w:p>
    <w:p w14:paraId="2E9137F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2.14、痉挛保护功能：根据痉挛时阻力状况测量显示 0～10 级痉挛等级，痉挛等级达到 5～10 级时启动痉挛保护功能，痉挛保护功能有三种模式可选：敏感模式，痉挛等级5～6级时启动；标准模式，痉挛等级7～8级时启动；不敏感模式，痉挛等级9～10级时启动。训练时能够显示记录痉挛等级和痉挛保护模式；</w:t>
      </w:r>
    </w:p>
    <w:p w14:paraId="10A429D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2.15、监测到痉挛发生时，设备会减速至停止、后缓慢反转并出现警示；</w:t>
      </w:r>
    </w:p>
    <w:p w14:paraId="5E28B4B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2.16、若反转后再次监测到痉挛发生，可重新激活痉挛保护，连续重新激活痉挛保护次数不大于5次，否则设备应停止输出；</w:t>
      </w:r>
    </w:p>
    <w:p w14:paraId="21FDE6C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2.17、具有手动急停功能；</w:t>
      </w:r>
    </w:p>
    <w:p w14:paraId="10FEF43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▲2.18、提供多种适应症标准化训练模式,分为标准主被动4种训练方案和加强主被动4种训练方案，还可自定义编辑12种训练处方。（提供检验报告、技术要求、说明书）；</w:t>
      </w:r>
    </w:p>
    <w:p w14:paraId="500FF01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2.19、支持当前训练数据查看、历史训练数据查看；曲线分析、柱状图分析；</w:t>
      </w:r>
    </w:p>
    <w:p w14:paraId="567D23B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2.20、支持PC端数据无线传输到单机自动排队，无需医师在单机上设置；</w:t>
      </w:r>
    </w:p>
    <w:p w14:paraId="32A6D0C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2.21、支持单机数据无线传输到PC端，自动累计数据，无需医师拷贝数据；</w:t>
      </w:r>
    </w:p>
    <w:p w14:paraId="5F033C6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2.22、支持单机训练数据查看、打印；</w:t>
      </w:r>
    </w:p>
    <w:p w14:paraId="1053A37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2.23、数据接口：符合USB2.0及以上传输协议、WIFI协议802.11a/b/g/n、RJ45端口TCP/IP协议、蓝牙BLE协议，数据存储格式为DB数据库格式；</w:t>
      </w:r>
    </w:p>
    <w:p w14:paraId="7E3C2C0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2.24、产品具有过电流、过电压保护功能；</w:t>
      </w:r>
    </w:p>
    <w:p w14:paraId="2A497C0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2.25、适用于多发性硬化、偏瘫、脑瘫、截瘫、骨质疏松症；卧床患者下肢运动功能障碍的辅助治疗有行动障碍的患者康复训练。</w:t>
      </w:r>
    </w:p>
    <w:p w14:paraId="1506120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2.26、产品使用年限：10年（提供铭牌照片证明）。</w:t>
      </w:r>
    </w:p>
    <w:p w14:paraId="21FE9C07">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5EF79440">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序号13、步态训练器</w:t>
      </w:r>
    </w:p>
    <w:p w14:paraId="3CED399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1、适应证：适应于下肢运动功能障碍患者的早期损伤、中后期恢复期康复训练；失能老人、长期卧床患者的运动功能训练；</w:t>
      </w:r>
    </w:p>
    <w:p w14:paraId="5488A80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2、设备适用环境：室内训练、室外训练； </w:t>
      </w:r>
    </w:p>
    <w:p w14:paraId="65F752D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3、适用身高体重：身高160cm-190cm；体重≤135kg；</w:t>
      </w:r>
    </w:p>
    <w:p w14:paraId="52E539F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4、尺寸重量要求：自由出入电梯、病房、家门等；重量＜80kg；长*宽*高≤100×75×135（cm）；</w:t>
      </w:r>
    </w:p>
    <w:p w14:paraId="67B45E6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5、电源条件：AC220V 电源频率：50Hz；可连续训练使用；</w:t>
      </w:r>
    </w:p>
    <w:p w14:paraId="2732217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6、设备调节量：腿杆长度最大调节量：10±1cm。腰部宽度最大调节量：10±1cm。腰部高度最大调节量：6±1cm。腹部深度最大调节量：12±1cm；</w:t>
      </w:r>
    </w:p>
    <w:p w14:paraId="4CD722A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▲7、循序渐进式康复系统：可以实现坐位转移训练，站立功能训练、大幅度下肢关节活动度训练、步行训练、脊柱平衡能力训练、运动协调性训练、步态姿势训练、步行能力重塑训练；</w:t>
      </w:r>
    </w:p>
    <w:p w14:paraId="7882182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关节活动度训练：下肢行走训练机器人能够实现下肢在矢状面的康复训练，包括髋关节的屈曲伸展，膝关节的屈曲伸展、踝关节的被动跖屈背屈训练；下肢关节行走中运动范围不小于髋关节伸-屈-9°-25°；膝关节伸-屈0-45°；</w:t>
      </w:r>
    </w:p>
    <w:p w14:paraId="3A8CBD8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▲9、运动训练要求：</w:t>
      </w:r>
    </w:p>
    <w:p w14:paraId="21C4632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9.1、设备可实现前进训练、后退步行训练，能够锻炼拮抗肌肉力量，平衡肌肉力量； </w:t>
      </w:r>
    </w:p>
    <w:p w14:paraId="44B7B9C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9.2、具有牵引训练、呵护行走训练、懒人行走训练、轻松行走训练模式；</w:t>
      </w:r>
    </w:p>
    <w:p w14:paraId="528596B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9.3、可以实现肌张力拉伸、被动训练，帮助下肢运动功能障碍患者改善步态姿势；</w:t>
      </w:r>
    </w:p>
    <w:p w14:paraId="5E16BAF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9.4、根据患者的主动运动能力，设备捕捉患者运动的趋势变化，可自然调节运动训练步态；</w:t>
      </w:r>
    </w:p>
    <w:p w14:paraId="1F640AF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9.5、可以实现阻抗运动训练，帮助下肢运动功能障碍患者做增强能力训练；</w:t>
      </w:r>
    </w:p>
    <w:p w14:paraId="01BB06E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10、步态步速：速度、频率等步态参数可调节，25挡运动速度调整。步行中可实现柔和速度渐变，被动训练渐变步速0-25步/min【2.4s/步-60s/步】；主动渐变步速 0-25步/min【2.4s/步-60s/步】；</w:t>
      </w:r>
    </w:p>
    <w:p w14:paraId="3D7C9B6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11、智能步态：</w:t>
      </w:r>
    </w:p>
    <w:p w14:paraId="61A5F3E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11.1、具有速度交互、安全交互、力量交互、自由度、舒缓等融合算法；</w:t>
      </w:r>
    </w:p>
    <w:p w14:paraId="2DC8373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11.2、柔顺的仿生步态设计，符合中国人体步态特征，确保用户自然、舒适的行走体验；</w:t>
      </w:r>
    </w:p>
    <w:p w14:paraId="552B544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▲12、穿戴：</w:t>
      </w:r>
    </w:p>
    <w:p w14:paraId="3372CBA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12.1、坐位及站位穿戴设计；</w:t>
      </w:r>
    </w:p>
    <w:p w14:paraId="51CFC02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12.2、不需要额外配套穿戴辅助装置，患者穿脱时间短；</w:t>
      </w:r>
    </w:p>
    <w:p w14:paraId="6B8C3A8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12.3、设备具有安全可靠的足部、小腿、大腿、臀部、腰部等辅助穿戴装置；</w:t>
      </w:r>
    </w:p>
    <w:p w14:paraId="102BA61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12.4、脊柱支撑系统三维可调整，可以做到前后、左右、上下体位调整；</w:t>
      </w:r>
    </w:p>
    <w:p w14:paraId="039793D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12.5、浮动式支撑：自适应用户运动中的身体形态变化，均匀分散局部压力，减少不适感。可以做到接触支撑面上下、左右、前后可随时调整，并能够围绕额状轴旋转以适应运动形态变化；</w:t>
      </w:r>
    </w:p>
    <w:p w14:paraId="080B29C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13、安全示警功能：康复治疗过程中，如果出现异常情况，有明显的声音提示；</w:t>
      </w:r>
    </w:p>
    <w:p w14:paraId="6A184AC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14、基础安全保护：设备有急停开关，机器人本体具备机械限位保护、软件及控制系统、漏电保护等；</w:t>
      </w:r>
    </w:p>
    <w:p w14:paraId="5DC062A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▲15、智能安全防护：</w:t>
      </w:r>
    </w:p>
    <w:p w14:paraId="10AA854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15.1、在检测到异常情况时，自动触发痉挛保护功能，进入“保 护模式”，痉挛保护功能应符合如下要求；</w:t>
      </w:r>
    </w:p>
    <w:p w14:paraId="36E0F12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15.2、设备监测到痉挛发生时，产品应作出保护动作，设备减速至停止，电机停止输出，关节运动机构处于自由状态；</w:t>
      </w:r>
    </w:p>
    <w:p w14:paraId="3BD0D78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15.3、痉挛保护激活时显示装置进入“保护模式”界面，并具有声音提示信号，该信号应持续 到手动退出“保护模式”；</w:t>
      </w:r>
    </w:p>
    <w:p w14:paraId="33ECE6D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15.4、痉挛保护默认为开启状态，不能关闭；</w:t>
      </w:r>
    </w:p>
    <w:p w14:paraId="3D0FBF1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15.5、具备多模态高敏感度运动状态安全性监测，每秒1000次的速度监控，每秒20000次力量变化监控；</w:t>
      </w:r>
    </w:p>
    <w:p w14:paraId="5155349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15.6、具备特色运动安全锁功能；</w:t>
      </w:r>
    </w:p>
    <w:p w14:paraId="4108789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16、设备为优质钢架构，设备由车架、动力辅助装置、绑带组成；</w:t>
      </w:r>
    </w:p>
    <w:p w14:paraId="50AF84A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17、软件：预留通用接口，可以系统替换、系统升级、外接设备加载、功能扩展等。</w:t>
      </w:r>
    </w:p>
    <w:p w14:paraId="23F2A2A7">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106AE596">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14474A0D">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71BEE7AA">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序号14、平衡训练设备</w:t>
      </w:r>
    </w:p>
    <w:p w14:paraId="15AC9C4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1、平衡杠：</w:t>
      </w:r>
    </w:p>
    <w:p w14:paraId="06884EB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1.1、300×115×73～110cm,高度调节范围73～110cm,宽度调节范围35～65cm，杠杆直径￠38mm，杠杆静载荷≥135kg，矫正板坡度15°；以上数值允差±10%。</w:t>
      </w:r>
    </w:p>
    <w:p w14:paraId="70A848E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2、训练用阶梯：</w:t>
      </w:r>
    </w:p>
    <w:p w14:paraId="18EBF47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2.1、尺寸：长3750mm宽1790mm高1800mm；允差±10%。</w:t>
      </w:r>
    </w:p>
    <w:p w14:paraId="2FC7665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2.2、组成：由阶梯、固定管柱和扶手杠组成；</w:t>
      </w:r>
    </w:p>
    <w:p w14:paraId="26DAF97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2.3、功能：前后阶梯、侧面阶梯；</w:t>
      </w:r>
    </w:p>
    <w:p w14:paraId="515F4BC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2.4、前面阶梯数量6个，后面阶梯数量5个，侧面阶梯数量4个；</w:t>
      </w:r>
    </w:p>
    <w:p w14:paraId="1ECDBB1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前、后面阶梯梯面深度320mm，允差±20mm；侧面阶梯梯面深度320mm，允差±20mm；前、后面阶梯内侧宽度625mm，允差±20mm；侧面阶梯内侧宽度625mm，允差±20mm；前面阶梯梯面高度100mm，允差±10mm；后面阶梯梯面高度120mm，允差±12mm；侧面阶梯梯面高度150mm，允差±15mm；扶手杠直径38mm，允差±4mm；固定管柱直径42mm，允差±4mm；扶手杠升降距离范围0-220mm，允差±22mm；</w:t>
      </w:r>
    </w:p>
    <w:p w14:paraId="0046BE4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2.6、扶手杠在载荷750N垂直力时，牢固无松动；扶手杠在载荷500N侧向力时，无任何断裂、松动损坏；</w:t>
      </w:r>
    </w:p>
    <w:p w14:paraId="25E970E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2.7、阶梯载荷≥2000N；</w:t>
      </w:r>
    </w:p>
    <w:p w14:paraId="44BB2BB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2.8、阶梯安装牢固，使用中无转移或移动，并具有防滑功能；</w:t>
      </w:r>
    </w:p>
    <w:p w14:paraId="71B4340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2.9、扶手杠末端向下≤90°成弧形转角；</w:t>
      </w:r>
    </w:p>
    <w:p w14:paraId="49698FD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2.10、阶梯两侧安装抓握杆及扶手，梯面两侧设有高度≥30mm的安全挡台；</w:t>
      </w:r>
    </w:p>
    <w:p w14:paraId="28F8E69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2.11、扶手杠的可调节部位配有锁定装置。扶手高度调节部件不与使用者的活动范围相干涉。扶手杠调节和锁定装置应在不使用工具的情况下手动操作；</w:t>
      </w:r>
    </w:p>
    <w:p w14:paraId="4BEA917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2.12、阶梯着地平稳，底脚与水平面的差值≤2mm，并在使用时不产生晃动；</w:t>
      </w:r>
    </w:p>
    <w:p w14:paraId="41997DF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2.13、阶梯按GB 24436-2009做稳定性试验时，其倾斜角不应小于10°；</w:t>
      </w:r>
    </w:p>
    <w:p w14:paraId="66A3186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2.14、阶梯使用的橡胶、塑料、木制等非金属制品和金属制品的表面涂层，不应存在感官能察觉到的异味，原材料及涂料符合有关环保规定；</w:t>
      </w:r>
    </w:p>
    <w:p w14:paraId="49D7AE9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3、站立床：</w:t>
      </w:r>
    </w:p>
    <w:p w14:paraId="061A416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3.1、结构型式：床面、床架、床垫、电机、遥控；</w:t>
      </w:r>
    </w:p>
    <w:p w14:paraId="4A3884C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3.2、静电喷塑架，安全稳定；</w:t>
      </w:r>
    </w:p>
    <w:p w14:paraId="7007428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3.3、床面采用发泡一体成型技术；</w:t>
      </w:r>
    </w:p>
    <w:p w14:paraId="2BEF1FD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3.4、医用慢速推杆电机1台，推力大，噪音低；</w:t>
      </w:r>
    </w:p>
    <w:p w14:paraId="75BE1DA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3.5、电动推杆行程：0~400mm；</w:t>
      </w:r>
    </w:p>
    <w:p w14:paraId="4D70E8E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3.6、电动推杆防护等级：≥IP54；</w:t>
      </w:r>
    </w:p>
    <w:p w14:paraId="4B95619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3.7、限位开关：内置：过载保护：有；</w:t>
      </w:r>
    </w:p>
    <w:p w14:paraId="5B10AD0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3.8、控制方式：手柄点动控制；</w:t>
      </w:r>
    </w:p>
    <w:p w14:paraId="6FB98A8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3.9、输入功率；120VA；</w:t>
      </w:r>
    </w:p>
    <w:p w14:paraId="5DBF042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3.10、规格：185×80×105cm；</w:t>
      </w:r>
    </w:p>
    <w:p w14:paraId="7A76160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3.11、床面升降角度范围；0-90°；</w:t>
      </w:r>
    </w:p>
    <w:p w14:paraId="0D1F0B6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3.12、输入电压：220V；</w:t>
      </w:r>
    </w:p>
    <w:p w14:paraId="06DB75E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3.13、额定载荷：≤135kg；</w:t>
      </w:r>
    </w:p>
    <w:p w14:paraId="4EC82925">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383F3BE7">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序号15、干扰电治疗仪</w:t>
      </w:r>
    </w:p>
    <w:p w14:paraId="2C8ABAC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1、结构：主机台面款式；</w:t>
      </w:r>
    </w:p>
    <w:p w14:paraId="55D4E9A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2、1组2通道输出，载波波形为正弦波；</w:t>
      </w:r>
    </w:p>
    <w:p w14:paraId="517BB3C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3、调制频率范围为0～150Hz，允差±10%；调制波形为梯形波；</w:t>
      </w:r>
    </w:p>
    <w:p w14:paraId="34DD1AE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4、低频调制中频的调幅度为0～100%范围内连续可调，允差±5%；</w:t>
      </w:r>
    </w:p>
    <w:p w14:paraId="282EF43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5、差频频率0～150Hz，允差±10%；</w:t>
      </w:r>
    </w:p>
    <w:p w14:paraId="51E0BC2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6、差频变化周期30s，允差±10%；</w:t>
      </w:r>
    </w:p>
    <w:p w14:paraId="533E6E7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7、动态节律6s，允差±10%；</w:t>
      </w:r>
    </w:p>
    <w:p w14:paraId="3110E56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8、输出电流：在基准负载（基准值500Ω±5%的无感电阻）下，输出脉冲幅度在0～100%内连续可调，最大输出电流100mA；</w:t>
      </w:r>
    </w:p>
    <w:p w14:paraId="04A4721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9、输出电流稳定度：不同负载下的输出电流变化率最大达10%；</w:t>
      </w:r>
    </w:p>
    <w:p w14:paraId="5ED5785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▲10、低频调制中频功能：可设定调制中频的调制频率、选择载波频率和波形模式，具有≥12种手动调制频率选择方式和≥13种治疗方案；</w:t>
      </w:r>
    </w:p>
    <w:p w14:paraId="16D5511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11、等幅中频功能：具有3种频率：2.5kHz，4.0kHz，6.0kHz可选，允差±10%；波形为等幅正弦波；</w:t>
      </w:r>
    </w:p>
    <w:p w14:paraId="6E89CFA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12、动态干扰电功能：同1组内2个通道输出具有差频,可选择调制中频的调制频率和波形模式，具有12种手动调制频率选择方式；</w:t>
      </w:r>
    </w:p>
    <w:p w14:paraId="68B4FA9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▲13、复合输出功能：低频调制中频功能、动态干扰电功能、等幅中频功能交替输出，具有≥13种治疗方案；</w:t>
      </w:r>
    </w:p>
    <w:p w14:paraId="58FC194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▲14、TENS输出功能，属于低频调制中频，载波频率2.5kHz，调制频率范围70Hz～110Hz，允差±10%；</w:t>
      </w:r>
    </w:p>
    <w:p w14:paraId="7AA2C8C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15、输出平衡调节功能：通过治疗仪上的输出均衡按钮，能调节同 1 组内 2 个通道输出电流的平衡性，即1个通道电流变大时另1个通道的电流变小；</w:t>
      </w:r>
    </w:p>
    <w:p w14:paraId="6A521E4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▲16、治疗周期内对应的吸附周期变化具有持续和断续两种方式，共8种吸附模式：1.5s、2.0s、2.5s、3.0s、4.0s、5.0s、自动、连续；</w:t>
      </w:r>
    </w:p>
    <w:p w14:paraId="0AF2AF7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17、抽吸力连续可调节，范围为7～27kPa,允差±10%；</w:t>
      </w:r>
    </w:p>
    <w:p w14:paraId="19985E2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18、吸附、平板、粘贴多种电极可选，适用人体不同部位；</w:t>
      </w:r>
    </w:p>
    <w:p w14:paraId="3601BC6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19、定时时间0min～60min可调，步进1min, 允差±5%；</w:t>
      </w:r>
    </w:p>
    <w:p w14:paraId="4BCE41B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20、操作界面：≥8寸触控液晶屏；</w:t>
      </w:r>
    </w:p>
    <w:p w14:paraId="65C1804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21、吸水海绵湿式电极，电流密度更平均，治疗更安全舒适；</w:t>
      </w:r>
    </w:p>
    <w:p w14:paraId="5F43158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22、治疗结束输出强度自动归零并声音提示；</w:t>
      </w:r>
    </w:p>
    <w:p w14:paraId="44103AC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23、具有过电流保护、过电压保护；</w:t>
      </w:r>
    </w:p>
    <w:p w14:paraId="3D0FFBB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24、具有电极片脱落检测及提示功能；</w:t>
      </w:r>
    </w:p>
    <w:p w14:paraId="207357C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25、治疗仪连续工作时间≥4h；</w:t>
      </w:r>
    </w:p>
    <w:p w14:paraId="254E781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26、治疗仪整机噪音≤60dB(A)。</w:t>
      </w:r>
    </w:p>
    <w:p w14:paraId="791F282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p>
    <w:p w14:paraId="33D8CBCB">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序号16、空气压力波治疗仪</w:t>
      </w:r>
    </w:p>
    <w:p w14:paraId="0722DD5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1、电源电压：AC220V±22V，频率50Hz±5Hz；</w:t>
      </w:r>
    </w:p>
    <w:p w14:paraId="65281B8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2、输入功率：80VA；</w:t>
      </w:r>
    </w:p>
    <w:p w14:paraId="6C0F41E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3、操作方式：≥8英寸智能液晶触控屏，实时显示每个治疗输出的压力值及工作状态；</w:t>
      </w:r>
    </w:p>
    <w:p w14:paraId="4CC3339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4、6腔气囊单通道输出治疗模式；</w:t>
      </w:r>
    </w:p>
    <w:p w14:paraId="0F8034D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5、实时压力检测，输出气压值误差≤10mmHg；</w:t>
      </w:r>
    </w:p>
    <w:p w14:paraId="03264B4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6、≥16种治疗工作模式，至少包括阶梯充气模式、单腔充气模式、三腔充气模式、双腔充气模式、从近心端到远心端充气、从远心端到近心端充气等；</w:t>
      </w:r>
    </w:p>
    <w:p w14:paraId="6954A04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7、≥6种肢体治疗模式；</w:t>
      </w:r>
    </w:p>
    <w:p w14:paraId="445A379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8、配置双排管，可同时治疗两个肢体；</w:t>
      </w:r>
    </w:p>
    <w:p w14:paraId="796B6AE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9、逆序加压：可设定从近心端向远心端贯序加压模式，预防由于动脉供血不足引起的肢体远端血液循环障碍；</w:t>
      </w:r>
    </w:p>
    <w:p w14:paraId="1CFE576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10、梯度治疗：支持梯度治疗，对肢体形成梯度加压；</w:t>
      </w:r>
    </w:p>
    <w:p w14:paraId="0F6D9D1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yellow"/>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▲11、压力范围：20mmHg～300mmHg，步进5mmHg，实现精准调压；</w:t>
      </w:r>
    </w:p>
    <w:p w14:paraId="46F945E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12、工作时间可以在5～99分钟之间任意调节，步进1分钟；</w:t>
      </w:r>
    </w:p>
    <w:p w14:paraId="6AFBF70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13、换气时间可以在6～20秒之间个性化设置，步进1s，允差±0.5s；</w:t>
      </w:r>
    </w:p>
    <w:p w14:paraId="210F250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▲14、上肢气囊、下肢气囊和连接管路应能承受设备450mmHg(60kPa)的压强气囊，保持1分钟不破裂或永久变形；</w:t>
      </w:r>
    </w:p>
    <w:p w14:paraId="53D5A63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15、重叠式加压气囊，保证患者肢体加压均匀充分；</w:t>
      </w:r>
    </w:p>
    <w:p w14:paraId="032C6DC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16、配备单排气管、双排气管各1套，上下肢气囊各2套；</w:t>
      </w:r>
    </w:p>
    <w:p w14:paraId="20F3D21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17、上肢气囊最大外形尺寸：长880mm，宽280mm，允差±10%;下肢气囊最大外形尺寸：长1000mm，宽360mm，允差±10%；单排气管长1150mm，双排气管长1250mm，允差±10%；</w:t>
      </w:r>
    </w:p>
    <w:p w14:paraId="38C842D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18、静音治疗：设备使用噪声≤55dB(A)；</w:t>
      </w:r>
    </w:p>
    <w:p w14:paraId="248AC48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19、具有连接管路防止接错的装置或标识；</w:t>
      </w:r>
    </w:p>
    <w:p w14:paraId="6E75E07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20、手动释压：可提供在各种状态下手动解除患者压强的措施；</w:t>
      </w:r>
    </w:p>
    <w:p w14:paraId="12FEBDA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21、断电泄压：运行中断电套筒可自动排气减压 ；</w:t>
      </w:r>
    </w:p>
    <w:p w14:paraId="7C066E8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22、过压保护：具有过压保护措施；</w:t>
      </w:r>
    </w:p>
    <w:p w14:paraId="41507F7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23、设备具有过电流、过电压保护功能；</w:t>
      </w:r>
    </w:p>
    <w:p w14:paraId="1DB29FD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24、设备使用年限：10年（提供铭牌照片证明）。</w:t>
      </w:r>
    </w:p>
    <w:p w14:paraId="5A80682B">
      <w:pPr>
        <w:pStyle w:val="26"/>
        <w:keepNext w:val="0"/>
        <w:keepLines w:val="0"/>
        <w:pageBreakBefore w:val="0"/>
        <w:kinsoku/>
        <w:wordWrap/>
        <w:overflowPunct/>
        <w:topLinePunct w:val="0"/>
        <w:bidi w:val="0"/>
        <w:snapToGrid/>
        <w:spacing w:line="360" w:lineRule="auto"/>
        <w:ind w:right="0" w:rightChars="0" w:firstLine="0" w:firstLineChars="0"/>
        <w:jc w:val="both"/>
        <w:rPr>
          <w:rFonts w:hint="eastAsia" w:ascii="宋体" w:hAnsi="宋体" w:eastAsia="宋体" w:cs="宋体"/>
          <w:b/>
          <w:bCs w:val="0"/>
          <w:color w:val="auto"/>
          <w:kern w:val="0"/>
          <w:sz w:val="21"/>
          <w:szCs w:val="21"/>
          <w:highlight w:val="none"/>
          <w:lang w:val="en-US" w:eastAsia="zh-CN" w:bidi="ar-SA"/>
        </w:rPr>
      </w:pPr>
    </w:p>
    <w:p w14:paraId="2C0FFA55">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序号17、ADL训练类设备</w:t>
      </w:r>
    </w:p>
    <w:p w14:paraId="4BCC960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组件：上肢协调功能练习器(手指)、分指板一套(大、中、小)、铁棍插板、木插板、套圈(立式)、几何图形插板、认知图形插板、模拟作业工具、上螺丝、上螺母、套珠、手指阶梯、穿衣板、手平衡协调训练器、滚筒一套(大、中、小)、筋膜加压训练带（常用套件）；</w:t>
      </w:r>
    </w:p>
    <w:p w14:paraId="3901E0B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2、用途：作业综合训练；</w:t>
      </w:r>
    </w:p>
    <w:p w14:paraId="66F5CE1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3、配置清单：</w:t>
      </w:r>
    </w:p>
    <w:p w14:paraId="1AA06D5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3.1、上肢协调功能练习器（手指）1件；     </w:t>
      </w:r>
    </w:p>
    <w:p w14:paraId="0465247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3.2、分指板1套；</w:t>
      </w:r>
    </w:p>
    <w:p w14:paraId="3E05AC3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3.3、铁棍插板1件；                      </w:t>
      </w:r>
    </w:p>
    <w:p w14:paraId="03E626C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3.4、木插板1件；</w:t>
      </w:r>
    </w:p>
    <w:p w14:paraId="6926B22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3.5、套圈（立式）1件；                  </w:t>
      </w:r>
    </w:p>
    <w:p w14:paraId="36D7090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3.6、几何图形插板1件；</w:t>
      </w:r>
    </w:p>
    <w:p w14:paraId="62D486C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3.7、认识图形插板1件；                 </w:t>
      </w:r>
    </w:p>
    <w:p w14:paraId="45DD999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3.8、模拟作业工具1套；</w:t>
      </w:r>
    </w:p>
    <w:p w14:paraId="18C03E6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3.9、上螺丝1件；                      </w:t>
      </w:r>
    </w:p>
    <w:p w14:paraId="40EED73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3.10、上螺母1件；</w:t>
      </w:r>
    </w:p>
    <w:p w14:paraId="0786825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3.11、套珠1件；                       </w:t>
      </w:r>
    </w:p>
    <w:p w14:paraId="6D87527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3.12、手指阶梯1件；</w:t>
      </w:r>
    </w:p>
    <w:p w14:paraId="0965069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3.13、穿衣板1件；                     </w:t>
      </w:r>
    </w:p>
    <w:p w14:paraId="2E32E9F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3.14、手平衡协调训练器1件；</w:t>
      </w:r>
    </w:p>
    <w:p w14:paraId="5415288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3.15、滚筒1套；                      </w:t>
      </w:r>
    </w:p>
    <w:p w14:paraId="084084E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3.16、筋膜加压训练带（常用套件）1套。</w:t>
      </w:r>
    </w:p>
    <w:p w14:paraId="01CEC854">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01006317">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11538574">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序号18、手功能训练设备(上肢综合训练器)</w:t>
      </w:r>
    </w:p>
    <w:p w14:paraId="723CEA9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1、规格：220×190×245cm（±5cm）</w:t>
      </w:r>
    </w:p>
    <w:p w14:paraId="6753361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2、组件：前臂旋转训练器、腕关节曲伸训练器、肩关节旋转训练器、复式墙拉力器、肩梯、肋木、滑轮吊环训练器(01)、滑轮吊环训练器(02)。</w:t>
      </w:r>
    </w:p>
    <w:p w14:paraId="6F2BC2DF">
      <w:pPr>
        <w:pStyle w:val="26"/>
        <w:keepNext w:val="0"/>
        <w:keepLines w:val="0"/>
        <w:pageBreakBefore w:val="0"/>
        <w:kinsoku/>
        <w:wordWrap/>
        <w:overflowPunct/>
        <w:topLinePunct w:val="0"/>
        <w:bidi w:val="0"/>
        <w:snapToGrid/>
        <w:spacing w:line="360" w:lineRule="auto"/>
        <w:ind w:right="0" w:rightChars="0" w:firstLine="0" w:firstLineChars="0"/>
        <w:jc w:val="both"/>
        <w:rPr>
          <w:rFonts w:hint="eastAsia" w:ascii="宋体" w:hAnsi="宋体" w:eastAsia="宋体" w:cs="宋体"/>
          <w:b/>
          <w:bCs w:val="0"/>
          <w:color w:val="auto"/>
          <w:kern w:val="0"/>
          <w:sz w:val="21"/>
          <w:szCs w:val="21"/>
          <w:highlight w:val="none"/>
          <w:lang w:val="en-US" w:eastAsia="zh-CN" w:bidi="ar-SA"/>
        </w:rPr>
      </w:pPr>
    </w:p>
    <w:p w14:paraId="419D109E">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序号19、手功能训练设备(手指阶梯训练器)</w:t>
      </w:r>
    </w:p>
    <w:p w14:paraId="0E20BE4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1、功能：适用于手指关节功能障碍患者的康复训练，兴奋上肢肌肉组织，促进局部血液循环；</w:t>
      </w:r>
    </w:p>
    <w:p w14:paraId="2B6218C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▲2、主机液晶触摸屏尺寸≥8英寸，具备语音提示功能，可选择开和关，音量和亮度可调节；</w:t>
      </w:r>
    </w:p>
    <w:p w14:paraId="3C3AB72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▲3、机身配有≥ 8个实体按键，主机具有把手，重量≤3.5kg±0.5kg；</w:t>
      </w:r>
    </w:p>
    <w:p w14:paraId="66EB130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4、驱动方式：气动方式，气压范围：负压:-90kPa～-60kPa,正压：100kPa～130kPa，气压范围内驱动柔性康复手套；</w:t>
      </w:r>
    </w:p>
    <w:p w14:paraId="32C55F5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5、具有机械运行停止功能和软件操作运行停止功能；</w:t>
      </w:r>
    </w:p>
    <w:p w14:paraId="760DB5C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6、过压保护：包括溢流阀、电磁阀、气压传感器等，当工作气压值超过120 kPa±10kPa 时，通过排气起保护作用；</w:t>
      </w:r>
    </w:p>
    <w:p w14:paraId="0F22249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▲7、静音运行：主机工作时噪声为 ≤48dB（A）；</w:t>
      </w:r>
    </w:p>
    <w:p w14:paraId="1DB7A04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8、康复动力手套活动范围大，其中大拇指活动范围≥180 °、其他四个手指活动范围 ≥ 270 ；</w:t>
      </w:r>
    </w:p>
    <w:p w14:paraId="5B55F29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▲9、康复动力手套疲劳测试：在最大负载下连续全范围屈伸工作≥10万次；</w:t>
      </w:r>
    </w:p>
    <w:p w14:paraId="5C956D8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10、柔性手套：康复动力手套采用人体工学设计和弹性布料无压痕缝纫，虎口及腕部采用魔术贴设计，快速穿戴，魔术贴最大粘合力为 30N；</w:t>
      </w:r>
    </w:p>
    <w:p w14:paraId="79EB07A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11、治疗时间1~60min,格值为1min。屈曲/伸展：3～12s连续可调，格值1s； </w:t>
      </w:r>
    </w:p>
    <w:p w14:paraId="703490F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12、具有防痉挛模式，避免屈伸过快诱发痉挛，可通过设置防痉挛开启或关闭；</w:t>
      </w:r>
    </w:p>
    <w:p w14:paraId="0579265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13、手控训练模式：配置手控开关，被动训练模式下可选择手控模式，帮助患者完成早期任务导向训练；</w:t>
      </w:r>
    </w:p>
    <w:p w14:paraId="6979E0F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▲14、气电联合：进行气动康复的同时，联合神经肌肉电刺激技术，实现腕手一体化治疗，帮助手指伸展和腕背伸运动；</w:t>
      </w:r>
    </w:p>
    <w:p w14:paraId="3C12C89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15、主机与气电联合从机无线连接，避免连接线束缠绕。从机具有 3 个物理按钮；</w:t>
      </w:r>
    </w:p>
    <w:p w14:paraId="5D7EFEC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16、电刺激脉冲宽度：每个变化周期从60μs开始，以4μs递增到200μs。脉冲频率37Hz±20%，波形为方波，治疗时间20min；</w:t>
      </w:r>
    </w:p>
    <w:p w14:paraId="61B799F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17、具备≥8种训练模式，智能被动训练、镜像训练、助力训练、主动训练、抗阻训练、语音声控。训练强度有低、强可选，可选择左右手；</w:t>
      </w:r>
    </w:p>
    <w:p w14:paraId="20989BF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18、精细化分指被动训练，可设置选择被动训练、对指训练和功能训练，进行单个手指或任意几个手指组合进行屈伸训练；</w:t>
      </w:r>
    </w:p>
    <w:p w14:paraId="62B1EF1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19、被动训练：可进行普通和抓球训练，自动和手控模式；</w:t>
      </w:r>
    </w:p>
    <w:p w14:paraId="1807475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20、双手镜像：健侧手佩戴数据手套带动患侧柔性手套进行训练。有普通和抓球2种训练；</w:t>
      </w:r>
    </w:p>
    <w:p w14:paraId="43F7CC8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21、助力训练：气动手套识别患侧手屈伸动作意图，协助患侧手完成屈伸动作,有屈伸、屈曲和伸展 3 种助力训练方式，意图检测灵敏度有低、中和高 3 档可调，可进行助力校准；</w:t>
      </w:r>
    </w:p>
    <w:p w14:paraId="5F6371C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22、抗阻模式：根据语音提示，患手主动进行对应抗阻动作，抗阻方式有普通和抓球两种；</w:t>
      </w:r>
    </w:p>
    <w:p w14:paraId="44C2370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▲23、声控训练模式：具备语音声控，设备自动识别说出的语音指令，控制柔性手套进行手势训练；</w:t>
      </w:r>
    </w:p>
    <w:p w14:paraId="6B9CEFD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24、使用年限≥10年（提供铭牌照片证明）；</w:t>
      </w:r>
    </w:p>
    <w:p w14:paraId="0DE8830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▲25、具备力量评估范围：0～2000hPa，评估过程中实时显示参考值。</w:t>
      </w:r>
    </w:p>
    <w:p w14:paraId="6C8D5B2B">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026F5C9B">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序号20、表面肌电分析反馈仪</w:t>
      </w:r>
    </w:p>
    <w:p w14:paraId="017DC30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一、技术参数：</w:t>
      </w:r>
    </w:p>
    <w:p w14:paraId="197D139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▲1、治疗波形参数：</w:t>
      </w:r>
    </w:p>
    <w:p w14:paraId="196BB6C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1.1、治疗电流输出0-99mA可调，步进1mA，允差5mA；</w:t>
      </w:r>
    </w:p>
    <w:p w14:paraId="0526F0D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1.2、治疗波形上升时间0-15S可调，步进1s，允差±10%；</w:t>
      </w:r>
    </w:p>
    <w:p w14:paraId="2419227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1.3、治疗波形工作时间1-30S可调，步进1s，允差±10%；</w:t>
      </w:r>
    </w:p>
    <w:p w14:paraId="6445EE9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1.4、治疗波形下降时间0-15S可调，步进1s，允差±10%；</w:t>
      </w:r>
    </w:p>
    <w:p w14:paraId="1AC36D6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1.5、治疗波形休息时间1-30S可调，步进1s，允差±10%；</w:t>
      </w:r>
    </w:p>
    <w:p w14:paraId="2E163A0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1.6、治疗波形脉冲宽度50-450μs可调，其中50-100μs，步进10μs，100-450μs，步进50μs，允差±5%；</w:t>
      </w:r>
    </w:p>
    <w:p w14:paraId="58D2E17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1.7、治疗波形输出频率2-100Hz可调，其中2-10Hz，步进1Hz，10-100Hz，步进5Hz，允差±3Hz；</w:t>
      </w:r>
    </w:p>
    <w:p w14:paraId="673485C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2、数据存储≥16M，支持永久性数据；</w:t>
      </w:r>
    </w:p>
    <w:p w14:paraId="7D7D1E9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3、EMG治疗灵敏度：0.1μV；</w:t>
      </w:r>
    </w:p>
    <w:p w14:paraId="0A96EF0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4、治疗量程0-2000μV；</w:t>
      </w:r>
    </w:p>
    <w:p w14:paraId="0A386D6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5、阈值可手动设定和自动设定，根据不同治疗情况下选择；</w:t>
      </w:r>
    </w:p>
    <w:p w14:paraId="47E7355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6、共模抑制比&gt;100dB；</w:t>
      </w:r>
    </w:p>
    <w:p w14:paraId="38290DF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7、带宽10Hz-1KHz；</w:t>
      </w:r>
    </w:p>
    <w:p w14:paraId="3C5514F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8、信号输入0-1.0V；</w:t>
      </w:r>
    </w:p>
    <w:p w14:paraId="623EC13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9、采样频率4096Hz；</w:t>
      </w:r>
    </w:p>
    <w:p w14:paraId="4703C29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10、AD采样18bit；</w:t>
      </w:r>
    </w:p>
    <w:p w14:paraId="60B4AFC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11、工作电源220V 50/60Hz；</w:t>
      </w:r>
    </w:p>
    <w:p w14:paraId="1EDFC03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12、连续工作时间≥8h；</w:t>
      </w:r>
    </w:p>
    <w:p w14:paraId="07455DF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2、技术要求：</w:t>
      </w:r>
    </w:p>
    <w:p w14:paraId="5168D33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2.1、双通道独立治疗模式，可同时治疗两个患者；</w:t>
      </w:r>
    </w:p>
    <w:p w14:paraId="58C69EE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2.2、多媒体EMG生物反馈式神经功能重建治疗技术；</w:t>
      </w:r>
    </w:p>
    <w:p w14:paraId="60DF523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2.3、肌电触发电刺激治疗模式；</w:t>
      </w:r>
    </w:p>
    <w:p w14:paraId="1F39BA0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2.4、主、被动双重治疗模式；</w:t>
      </w:r>
    </w:p>
    <w:p w14:paraId="6C3C9C6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2.5、神经、肌电评估功能，打印书面报告；</w:t>
      </w:r>
    </w:p>
    <w:p w14:paraId="4650EF5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2.6、8寸彩色触摸屏显示，电脑操作系统；</w:t>
      </w:r>
    </w:p>
    <w:p w14:paraId="38C7FD2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2.7、实时显示患者治疗情况及时给予评估结果；</w:t>
      </w:r>
    </w:p>
    <w:p w14:paraId="6398C03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2.8、病例资源管理系统，记录患者每次治疗详情，便于医生评估观测病人的康复状况，以便及时调整治疗方案；</w:t>
      </w:r>
    </w:p>
    <w:p w14:paraId="0617FDF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2.9、多种有趣的训练治疗游戏，20种游戏可选择；</w:t>
      </w:r>
    </w:p>
    <w:p w14:paraId="039BD07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2.10、智能检测系统，可自动检测电极片与皮肤的接触状况，如果电极片与皮肤接触不良或电极片脱落实现自动停机保护；</w:t>
      </w:r>
    </w:p>
    <w:p w14:paraId="13E4CBB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2.11、智能的生物电流分离选择模式，医生可根据治疗及临床科研需要任意调节刺激电流的脉冲宽度、脉冲频率、脉冲上升下降时间和电流的强弱及治疗强度；</w:t>
      </w:r>
    </w:p>
    <w:p w14:paraId="588C9AB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2.12、具有多种治疗方案，提供防止肌肉萎缩，缓解肌痉挛，神经恢复治疗，增加关节活动度治疗等基本功能。</w:t>
      </w:r>
    </w:p>
    <w:p w14:paraId="56099753">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7167C8FC">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3BB76A42">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序号21、认知能力测试与训练仪</w:t>
      </w:r>
    </w:p>
    <w:p w14:paraId="64D126C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1、基于标准化作业治疗方案（Occupational Therapy）的能力训练，通过系统性干预提升患者的认知功能及肢体运动协调能力，实现生活自理能力的改善。</w:t>
      </w:r>
    </w:p>
    <w:p w14:paraId="55796CE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2、具备认知评估维度；</w:t>
      </w:r>
    </w:p>
    <w:p w14:paraId="6237F3F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▲3、核心能：注意、记忆、计算、思维、知觉、定向、语言、执行）+5项衍生指标（反应速度、错误类型分析、抗干扰能力、任务切换效率、情绪反馈；</w:t>
      </w:r>
    </w:p>
    <w:p w14:paraId="60A51CA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4、智能评估模式：</w:t>
      </w:r>
    </w:p>
    <w:p w14:paraId="635D9AD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4.1、全流程自动化：智能筛查→专业量表评估→个性化康复计划生成→周期性训练报告输出；</w:t>
      </w:r>
    </w:p>
    <w:p w14:paraId="1A407EE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4.2、数据支撑：AI算法分析训练数据，辅助医生决策；</w:t>
      </w:r>
    </w:p>
    <w:p w14:paraId="4EF0157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5、专业量表库：</w:t>
      </w:r>
    </w:p>
    <w:p w14:paraId="73B574C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5.1、内置20+国际标准量表：MoCA、MMSE、FIM、WAIS-RC、CPM等；</w:t>
      </w:r>
    </w:p>
    <w:p w14:paraId="169EF5E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5.2、覆盖功能领域：神经功能、认知筛查、行为记忆、运动能力、生活活动能力；</w:t>
      </w:r>
    </w:p>
    <w:p w14:paraId="1DEABFB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6、量表管理功能：</w:t>
      </w:r>
    </w:p>
    <w:p w14:paraId="0356B77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▲6.1、自定义添加：支持医院无限扩展量表库；</w:t>
      </w:r>
    </w:p>
    <w:p w14:paraId="2F3F6B8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6.2、分类展示：按常用量表、疾病类型等标签化管理；</w:t>
      </w:r>
    </w:p>
    <w:p w14:paraId="3FB1F66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7、内置动态阈值校准（年龄/病因/病程适配）；</w:t>
      </w:r>
    </w:p>
    <w:p w14:paraId="6DB2CA2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▲8、AI动态难度系统：容错补偿机制（连续错误五次提示是否降低难度）；</w:t>
      </w:r>
    </w:p>
    <w:p w14:paraId="39A6A78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9、训练类型分类：</w:t>
      </w:r>
    </w:p>
    <w:p w14:paraId="208B293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9.1、计算训练：加减法等基础运算，至少包含4种游戏；</w:t>
      </w:r>
    </w:p>
    <w:p w14:paraId="4AE80C9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9.2、记忆训练：时空/人物/短时/长时记忆，至少包含4种游戏；</w:t>
      </w:r>
    </w:p>
    <w:p w14:paraId="10BFC43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9.3、逻辑训练：排序/分类/差异识别，至少包含4种游戏；</w:t>
      </w:r>
    </w:p>
    <w:p w14:paraId="0A78F68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9.4、注意力训练：分配/广度/转移强化，至少包含11种游戏；</w:t>
      </w:r>
    </w:p>
    <w:p w14:paraId="0AF20D2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9.5、运动感知训练：肢体协调与精细动作，至少包含13种游戏；</w:t>
      </w:r>
    </w:p>
    <w:p w14:paraId="6332898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9.6、听觉康复：听指令执行任务，至少包含5种游戏；</w:t>
      </w:r>
    </w:p>
    <w:p w14:paraId="4CAC6B5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9.7、定向力康复训练：时间、人物、地点、空间至少包含10种游戏；</w:t>
      </w:r>
    </w:p>
    <w:p w14:paraId="7DCECC1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10、训练过程监控：</w:t>
      </w:r>
    </w:p>
    <w:p w14:paraId="3BCBB79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10.1、实时监测：记录训练时长、速率、错误率等动态数据；</w:t>
      </w:r>
    </w:p>
    <w:p w14:paraId="722A4B4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10.2、自动生成报告：包含进步曲线、领域得分、个性化建议；</w:t>
      </w:r>
    </w:p>
    <w:p w14:paraId="7A193A0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10.3、报告与数据管理；</w:t>
      </w:r>
    </w:p>
    <w:p w14:paraId="12F6E5E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11、评估报告功能：</w:t>
      </w:r>
    </w:p>
    <w:p w14:paraId="353D472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11.1、多维画像：领域得分、水平评级、用时分析、训练建议；</w:t>
      </w:r>
    </w:p>
    <w:p w14:paraId="30C6BA6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11.2、格式支持：PDF导出/打印；</w:t>
      </w:r>
    </w:p>
    <w:p w14:paraId="367EE7D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12、周期性数据追踪：</w:t>
      </w:r>
    </w:p>
    <w:p w14:paraId="0A873AE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12.1、自动生成周期报告：对比历史数据，展示康复进展趋势；</w:t>
      </w:r>
    </w:p>
    <w:p w14:paraId="42D671F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12.2、医生端可视化：支持图表化呈现训练成效；</w:t>
      </w:r>
    </w:p>
    <w:p w14:paraId="03C6AE1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13、数据管理：</w:t>
      </w:r>
    </w:p>
    <w:p w14:paraId="5FA0873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13.1、支持患者全生命周期数据追踪（档案/训练记录/评估报告）；</w:t>
      </w:r>
    </w:p>
    <w:p w14:paraId="68B4EC0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13.2、提供多维数据分类统计（病种/年龄/性别/训练处方等），支持自定义查询与可视化展示；</w:t>
      </w:r>
    </w:p>
    <w:p w14:paraId="1C5749F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14、报告系统：</w:t>
      </w:r>
    </w:p>
    <w:p w14:paraId="003B2AA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14.1、自动生成可视化评估/训练报告，含功能水平得分、进步曲线与训练建议；</w:t>
      </w:r>
    </w:p>
    <w:p w14:paraId="39071F8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14.2、支持一键打印，报告格式符合医疗文档规范（含患者信息/评估数据/训练记录）；</w:t>
      </w:r>
    </w:p>
    <w:p w14:paraId="2E6AF12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15、用户管理：</w:t>
      </w:r>
    </w:p>
    <w:p w14:paraId="46046D4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15.1、医生账户支持分级权限控制（注册/编辑/删除/密码重置）；</w:t>
      </w:r>
    </w:p>
    <w:p w14:paraId="22FA48E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15.2、患者信息支持扫码录入（住院码识别）、手动输入；</w:t>
      </w:r>
    </w:p>
    <w:p w14:paraId="49D7EFD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16、实时打印服务：</w:t>
      </w:r>
    </w:p>
    <w:p w14:paraId="298434B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16.1、一键打印：评估报告、训练建议等文档；</w:t>
      </w:r>
    </w:p>
    <w:p w14:paraId="40DAA33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16.2、色彩标准：支持彩色图表输出；</w:t>
      </w:r>
    </w:p>
    <w:p w14:paraId="78245FA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17、数据安全性：</w:t>
      </w:r>
    </w:p>
    <w:p w14:paraId="02067C1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17.1、本地化存储：患者数据加密保存；</w:t>
      </w:r>
    </w:p>
    <w:p w14:paraId="2B85213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17.2、权限管理：分级访问控制（医生/患者）；</w:t>
      </w:r>
    </w:p>
    <w:p w14:paraId="3631019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18、系统维护：提供远程软件升级服务；</w:t>
      </w:r>
    </w:p>
    <w:p w14:paraId="5EDC1FC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19、支架：全钢结构360°移动支架，高度890mm～1400mm电动连续可调，角度0°～90°电动连续可调；</w:t>
      </w:r>
    </w:p>
    <w:p w14:paraId="38B8AE6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20、显示器：≥55寸电容多点触摸LED防爆玻璃显示屏；</w:t>
      </w:r>
    </w:p>
    <w:p w14:paraId="09C1A26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21、显示器分辨率≥:1920*1080；</w:t>
      </w:r>
    </w:p>
    <w:p w14:paraId="40E0371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22、主机：电脑显示一体机；</w:t>
      </w:r>
    </w:p>
    <w:p w14:paraId="7003284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23、内存：≥8G运行内存；</w:t>
      </w:r>
    </w:p>
    <w:p w14:paraId="347A2E9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24、处理器：不低于第七代Intel I5 CPU；</w:t>
      </w:r>
    </w:p>
    <w:p w14:paraId="32245EC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25、硬盘：≥240G固态硬盘 ；</w:t>
      </w:r>
    </w:p>
    <w:p w14:paraId="459A0B0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26、操作系统：Windows10，64bit。</w:t>
      </w:r>
    </w:p>
    <w:p w14:paraId="0488B4AB">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0AEFBE5E">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序号22、可调节洗头车</w:t>
      </w:r>
    </w:p>
    <w:p w14:paraId="4BB9549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1、使用电源：AC220V±22V  50Hz±1Hz；</w:t>
      </w:r>
    </w:p>
    <w:p w14:paraId="3E3AE77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2、额定功率：≤1600W；</w:t>
      </w:r>
    </w:p>
    <w:p w14:paraId="00BCCD1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3、测温精度：±2℃；</w:t>
      </w:r>
    </w:p>
    <w:p w14:paraId="721B7B9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4、测温范围：0-99℃（加热设置范围：30-80℃）；</w:t>
      </w:r>
    </w:p>
    <w:p w14:paraId="4713409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5、水位分档：0%、20%、50%、80%、100%五档；</w:t>
      </w:r>
    </w:p>
    <w:p w14:paraId="1A83F99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6、调温幅度：每次调整1℃；</w:t>
      </w:r>
    </w:p>
    <w:p w14:paraId="456F27D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7、加热装置功率：1500W；</w:t>
      </w:r>
    </w:p>
    <w:p w14:paraId="4AF0984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8、电磁阀工作电压：直流DC12V；</w:t>
      </w:r>
    </w:p>
    <w:p w14:paraId="4621763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9、水泵工作电压：直流DC12V；</w:t>
      </w:r>
    </w:p>
    <w:p w14:paraId="3D683B9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10、漏电动作电流：≤10mA/0.1S；</w:t>
      </w:r>
    </w:p>
    <w:p w14:paraId="66E39BD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11、水箱容量：≥28L；</w:t>
      </w:r>
    </w:p>
    <w:p w14:paraId="108B99D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12、操作显示：彩色LED显示屏；</w:t>
      </w:r>
    </w:p>
    <w:p w14:paraId="53E8F48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13、参数设置：一键进入恒温温度、水温、水位设置；</w:t>
      </w:r>
    </w:p>
    <w:p w14:paraId="1E77730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14、参数存储：具有断电自动记忆功能；</w:t>
      </w:r>
    </w:p>
    <w:p w14:paraId="2D066CC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15、喷水控制：脚踏开关控制；</w:t>
      </w:r>
    </w:p>
    <w:p w14:paraId="24F17D9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16、自动上水加热：具有三次自动上水加热设置功能；</w:t>
      </w:r>
    </w:p>
    <w:p w14:paraId="53B9B90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17、断电操作：不插220V时，可使用加水、洗头等除加热外的所有功能；</w:t>
      </w:r>
    </w:p>
    <w:p w14:paraId="61E2ED9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18、内置锂电池：进水、洗头、设置可使用内置电池满电时可供花洒喷水时间≥3小时；</w:t>
      </w:r>
    </w:p>
    <w:p w14:paraId="35912CE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19、具有防空烧、缺水蜂鸣报警及漏电保护功能。</w:t>
      </w:r>
    </w:p>
    <w:p w14:paraId="0543F6DB">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4BD5AA3F">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序号23、移位机</w:t>
      </w:r>
    </w:p>
    <w:p w14:paraId="7CFFB6C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p>
    <w:p w14:paraId="6D3237B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1、最大安全载荷≥150kg，满足失能老人转运；</w:t>
      </w:r>
    </w:p>
    <w:p w14:paraId="39E5CD1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2、升降范围480mm～1700mm，可地面起吊；</w:t>
      </w:r>
    </w:p>
    <w:p w14:paraId="209B402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3、底座支腿宽度可调，适配病房、卫生间狭小空间；</w:t>
      </w:r>
    </w:p>
    <w:p w14:paraId="08FF351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4、有线+无线双遥控控制，升降缓启动缓停止；</w:t>
      </w:r>
    </w:p>
    <w:p w14:paraId="2D0F150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5、具备急停、断电手动释放、过载声光报警多重安全保护；</w:t>
      </w:r>
    </w:p>
    <w:p w14:paraId="5367360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6、配套医用吊带，4点悬吊，吊头360°旋转。</w:t>
      </w:r>
    </w:p>
    <w:p w14:paraId="0AB788FC">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0B47B411">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序号24、骨密度智能分析仪</w:t>
      </w:r>
    </w:p>
    <w:p w14:paraId="546515D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1、基本要求：</w:t>
      </w:r>
    </w:p>
    <w:p w14:paraId="32D3AE6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1.1、用X射线测定；</w:t>
      </w:r>
    </w:p>
    <w:p w14:paraId="492E437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 测量部位：足跟、前臂；（双部位检测）；</w:t>
      </w:r>
    </w:p>
    <w:p w14:paraId="0A90C4C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1.3、测量范围：成人、儿童；</w:t>
      </w:r>
    </w:p>
    <w:p w14:paraId="695EF7D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1.4、工作电压：220V±10%，50Hz±10%；</w:t>
      </w:r>
    </w:p>
    <w:p w14:paraId="2344A8E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▲1.5、检测、监视器（观察患者摆放位置）；</w:t>
      </w:r>
    </w:p>
    <w:p w14:paraId="7355563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▲1.6、儿童模式： 检测骨龄、预测儿童身高；</w:t>
      </w:r>
    </w:p>
    <w:p w14:paraId="7E7F4AE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▲1.7、专用防辐射移动豪华推车（分体式）；</w:t>
      </w:r>
    </w:p>
    <w:p w14:paraId="37B087A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2、硬件要求：</w:t>
      </w:r>
    </w:p>
    <w:p w14:paraId="6F96178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2.1、X射线源：钨靶X线管； </w:t>
      </w:r>
    </w:p>
    <w:p w14:paraId="7E2831C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2.2、X光探测器：CCD探测器；</w:t>
      </w:r>
    </w:p>
    <w:p w14:paraId="1E71B45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2.3、高压球管组件：进口品牌；</w:t>
      </w:r>
    </w:p>
    <w:p w14:paraId="5FDA2CE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2.4、扫描方式：采用锥体束型扫描；（第三代扫描技术）；</w:t>
      </w:r>
    </w:p>
    <w:p w14:paraId="42A1FDB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2.5、扫描时间：≤3s(提供原厂说明书)；</w:t>
      </w:r>
    </w:p>
    <w:p w14:paraId="733D02B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2.6、扫描面积：107mm*145mm；</w:t>
      </w:r>
    </w:p>
    <w:p w14:paraId="31C18DA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2.7、成像分辨率：0.15*0.15mm像素；</w:t>
      </w:r>
    </w:p>
    <w:p w14:paraId="18E337A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2.8、重复性差异：≤1％；</w:t>
      </w:r>
    </w:p>
    <w:p w14:paraId="75994FC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2.9、准确度：≤±1％；</w:t>
      </w:r>
    </w:p>
    <w:p w14:paraId="5E630A3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2.10、管电流：≥1mA；</w:t>
      </w:r>
    </w:p>
    <w:p w14:paraId="3E057D5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2.11、管电压：80KV；50KV；</w:t>
      </w:r>
    </w:p>
    <w:p w14:paraId="6D6B472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2.12、电源容量：≥0.06kW；</w:t>
      </w:r>
    </w:p>
    <w:p w14:paraId="4E0941F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2.13、最大辐射野：≤107 mm；</w:t>
      </w:r>
    </w:p>
    <w:p w14:paraId="5DD8468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2.14、固有滤过：≥1.1 mm Al；</w:t>
      </w:r>
    </w:p>
    <w:p w14:paraId="0B63190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2.15、不可拆卸材料滤过：≥2.1 mm Al；</w:t>
      </w:r>
    </w:p>
    <w:p w14:paraId="09B7EFF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2.16、等效总滤过：≥3.2 mm Al；</w:t>
      </w:r>
    </w:p>
    <w:p w14:paraId="5886FA0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2.17、靶面与基准轴角度：16度；</w:t>
      </w:r>
    </w:p>
    <w:p w14:paraId="66E559B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2.18、基准轴的焦点标称值：0.7；</w:t>
      </w:r>
    </w:p>
    <w:p w14:paraId="13F74D2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2.19、焦点到影像接收面的距离：≥100 mm；</w:t>
      </w:r>
    </w:p>
    <w:p w14:paraId="495D924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2.20、辐射渗漏量:在加载状态下距离焦点1m处，任一100cm</w:t>
      </w:r>
      <w:r>
        <w:rPr>
          <w:rFonts w:hint="eastAsia" w:ascii="宋体" w:hAnsi="宋体" w:eastAsia="宋体" w:cs="Times New Roman"/>
          <w:b w:val="0"/>
          <w:bCs w:val="0"/>
          <w:color w:val="auto"/>
          <w:kern w:val="2"/>
          <w:sz w:val="21"/>
          <w:szCs w:val="21"/>
          <w:highlight w:val="none"/>
          <w:vertAlign w:val="superscript"/>
          <w:lang w:val="en-US" w:eastAsia="zh-CN" w:bidi="ar-SA"/>
        </w:rPr>
        <w:t>2</w:t>
      </w:r>
      <w:r>
        <w:rPr>
          <w:rFonts w:hint="eastAsia" w:ascii="宋体" w:hAnsi="宋体" w:eastAsia="宋体" w:cs="Times New Roman"/>
          <w:b w:val="0"/>
          <w:bCs w:val="0"/>
          <w:color w:val="auto"/>
          <w:kern w:val="2"/>
          <w:sz w:val="21"/>
          <w:szCs w:val="21"/>
          <w:highlight w:val="none"/>
          <w:lang w:val="en-US" w:eastAsia="zh-CN" w:bidi="ar-SA"/>
        </w:rPr>
        <w:t>的区域范围内，X射线管组件及X射线源组件在加载状态下的泄露辐射量为0(提供具有资质的检测机构出具的检测报告)；</w:t>
      </w:r>
    </w:p>
    <w:p w14:paraId="1A99A5F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2.21、成人扫描报告检测结果：扫描区域、身高、体重、骨密度曲线图、BMD、T-score、Z-score、BMC、BMI、检测结果、FRAX风险分析；</w:t>
      </w:r>
    </w:p>
    <w:p w14:paraId="1BE2A8B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2.22、儿童扫描报告检测结果：T值，Z值、BMD、BMI、BMC、遗传预测身高、骨龄预测身高、骨密度曲线图、身高曲线图、预测骨龄、增长速度、检测结果；</w:t>
      </w:r>
    </w:p>
    <w:p w14:paraId="02CB310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3、软件要求：</w:t>
      </w:r>
    </w:p>
    <w:p w14:paraId="43C6275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3.1、采用骨密度金标准，测定数据具有权威性；</w:t>
      </w:r>
    </w:p>
    <w:p w14:paraId="2A27BF2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3.2、数据库：具有中国人的专业测量数据库；</w:t>
      </w:r>
    </w:p>
    <w:p w14:paraId="5449AA8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3.3、全中文操作系统，并有软件的操作说明；</w:t>
      </w:r>
    </w:p>
    <w:p w14:paraId="04AE3DC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3.4、可选择骨密度及儿童骨龄模式；</w:t>
      </w:r>
    </w:p>
    <w:p w14:paraId="62B781D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3.5、报告模板支持骨密度报告模板、儿童骨龄报告模板、FRAX骨折风险分析报告模板，支持报告模板可自定义；</w:t>
      </w:r>
    </w:p>
    <w:p w14:paraId="4AE0541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3.6、支持检测结果评语库，可自行编辑；</w:t>
      </w:r>
    </w:p>
    <w:p w14:paraId="68E6723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3.7、支持DICOM3.0标准协议，支持与WORKLIST连接，支持数据发送至PACS服务器；</w:t>
      </w:r>
    </w:p>
    <w:p w14:paraId="2D1E82C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3.8、质量控制：有校准模块提供日常质量控制和校准；</w:t>
      </w:r>
    </w:p>
    <w:p w14:paraId="72A205F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yellow"/>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3.9、支持数据导出EXCEL功能；</w:t>
      </w:r>
    </w:p>
    <w:p w14:paraId="486F726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3.10、支持对图像感兴趣区域重估、亮度、对比度、翻转等调节处理；</w:t>
      </w:r>
    </w:p>
    <w:p w14:paraId="5740256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3.11、支持检测结果数据备份与数据恢复；</w:t>
      </w:r>
    </w:p>
    <w:p w14:paraId="5C917D0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3.12、支持二代身份证录入系统，可直接阅读身份证信息，减少出错率，保证受检人员的信息准确性，减少医护人员的工作量；</w:t>
      </w:r>
    </w:p>
    <w:p w14:paraId="0331310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3.13、支持报告预览、打印，以图片格式保存到计算机。</w:t>
      </w:r>
    </w:p>
    <w:p w14:paraId="6D724994">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30C38B00">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序号25、四肢联动康复训练仪（手动）</w:t>
      </w:r>
    </w:p>
    <w:p w14:paraId="41C1F0B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1、使用电源：220V±10V，50Hz±5Hz；</w:t>
      </w:r>
    </w:p>
    <w:p w14:paraId="7182D15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2、额定输入功率：100VA；</w:t>
      </w:r>
    </w:p>
    <w:p w14:paraId="151F353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3、外形尺寸（长宽高）：1560mm*910mm*1260mm（±50mm）；</w:t>
      </w:r>
    </w:p>
    <w:p w14:paraId="01B0613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4、最大承重：≥180kg；</w:t>
      </w:r>
    </w:p>
    <w:p w14:paraId="1ACC540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5、座椅可360°旋转；每90°一档，分成4档；</w:t>
      </w:r>
    </w:p>
    <w:p w14:paraId="303F2FA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6、座椅前后调整距离：315mm±10%；</w:t>
      </w:r>
    </w:p>
    <w:p w14:paraId="0E6D015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7、训练手杆长度280mm±5%，分1～15档刻度可调；</w:t>
      </w:r>
    </w:p>
    <w:p w14:paraId="77313B6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8、座椅两侧均有扶手，扶手可折叠；</w:t>
      </w:r>
    </w:p>
    <w:p w14:paraId="7D4530A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9、左右训练手杆把套须能承载120N的拉力，试验后无撕裂或滑脱；</w:t>
      </w:r>
    </w:p>
    <w:p w14:paraId="2F1C227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10、具有护腿装置：可支撑单侧下肢，为下肢肌力小于2级和关节稳定性差的患者提供固定和保护，左右双侧可换；</w:t>
      </w:r>
    </w:p>
    <w:p w14:paraId="49C7250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11、护腿装置长度、宽度分档可调，调节髋外展外旋的幅度；</w:t>
      </w:r>
    </w:p>
    <w:p w14:paraId="1E6BCEE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yellow"/>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12、底部具有脚轮和地脚设计；</w:t>
      </w:r>
    </w:p>
    <w:p w14:paraId="76B4BB2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13、训练时间设置：1min～90min±30s可调，步进1min；</w:t>
      </w:r>
    </w:p>
    <w:p w14:paraId="468F0D7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14、具备主动联动功能：单侧训练手杆或脚踏板主动运动能带动另外一侧一起联动运动，具备健侧带动患侧、一肢带动三肢的功能；</w:t>
      </w:r>
    </w:p>
    <w:p w14:paraId="369C17B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15、设备采用上肢模拟伸缩运动，下肢模拟蹬踏运动模式进行训练；</w:t>
      </w:r>
    </w:p>
    <w:p w14:paraId="1B04FF4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16、脚踏板运动角度范围：5°～30°±3°，步进1°；</w:t>
      </w:r>
    </w:p>
    <w:p w14:paraId="5DECED2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17、训练强度：运动阻力1～16级可调，扶手启动力范围：40N～90N±10%；</w:t>
      </w:r>
    </w:p>
    <w:p w14:paraId="37D787C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18、主动训练模式：6种，包括阻力模式、功率模式、爬坡模式、间隔模式、心率模式、体脂模式（提供技术要求、说明书）；</w:t>
      </w:r>
    </w:p>
    <w:p w14:paraId="41E5E0F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18.1、阻力模式：基本训练模式，默认的主动训练模式，可设置训练强度16级；</w:t>
      </w:r>
    </w:p>
    <w:p w14:paraId="5213946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18.2、功率模式：在模式参数中设置人体运动的功率，范围20W～400W；</w:t>
      </w:r>
    </w:p>
    <w:p w14:paraId="56D706B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18.3、爬坡模式：训练强度随运动步数不断增加，达到最大训练强度时保持，根据训练强度不同区分强度级别4级；</w:t>
      </w:r>
    </w:p>
    <w:p w14:paraId="3683460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18.4、间隔模式：训练强度随运动步数不断增加，当达到最大训练强度时，训练强度从设置最小值重新增加，根据最大训练强度不同分为4级；</w:t>
      </w:r>
    </w:p>
    <w:p w14:paraId="116A283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18.5、心率模式：此模式训练强度与主动联动功能相同，设置最大与最小心率，读取外部心率监测设备心率数据，心率范围40次/分钟～210次/分钟任意设置，当心率超过设置范围时，康复仪文字提示；心率监测显示40次/分钟～210次/分钟范围内，允差±5％或5次/分钟中较大者；</w:t>
      </w:r>
    </w:p>
    <w:p w14:paraId="1CC16A9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18.6、体脂模式：在模式参数中设置患者年龄、身高、性别、体重信息，根据输入的患者信息自动生成的训练强度； </w:t>
      </w:r>
    </w:p>
    <w:p w14:paraId="337E380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19、安全防护装置：</w:t>
      </w:r>
    </w:p>
    <w:p w14:paraId="05537DB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19.1、座位上具有防止使用者身体滑脱的绑带； </w:t>
      </w:r>
    </w:p>
    <w:p w14:paraId="44AB6C9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19.2、脚踏板安装牢固，具有足部绑带固定足部，防止滑落；</w:t>
      </w:r>
    </w:p>
    <w:p w14:paraId="2290AF1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19.3、具有手部绑带和护腿装置，防止手部和腿部滑落；</w:t>
      </w:r>
    </w:p>
    <w:p w14:paraId="61B119C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20、八寸彩色触控液晶屏，反应灵敏、显示清晰；</w:t>
      </w:r>
    </w:p>
    <w:p w14:paraId="3CD0C0D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21、可设置参数：训练强度、训练速度、训练时间、训练角度、训练模式、最大心率、最小心率、年龄、身高、性别、体重设置；</w:t>
      </w:r>
    </w:p>
    <w:p w14:paraId="726BDA5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22、监控显示：运动步数、运动里程、卡路里、心率、步频、训练时间、实时角度、训练强度显示功能；</w:t>
      </w:r>
    </w:p>
    <w:p w14:paraId="116B125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23、心率监测模块通信接口：具有连接心率监测设备2.4G无线通讯接口；</w:t>
      </w:r>
    </w:p>
    <w:p w14:paraId="530EAC9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24、标配心率带；</w:t>
      </w:r>
    </w:p>
    <w:p w14:paraId="15CB724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25、步频范围：0-999步/分，功率：20-400瓦，累积步数：0-9999步，卡路里：0-60000；</w:t>
      </w:r>
    </w:p>
    <w:p w14:paraId="6EFE87B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26、使用电磁控阻力装置；</w:t>
      </w:r>
    </w:p>
    <w:p w14:paraId="7590DF1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27、康复仪在安全工作载荷时的运动噪声≤55dBA；</w:t>
      </w:r>
    </w:p>
    <w:p w14:paraId="7B6A039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28、安全类型:I类、B型应用部分；</w:t>
      </w:r>
    </w:p>
    <w:p w14:paraId="3C41393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29、熔断器：F3.15AL250V；</w:t>
      </w:r>
    </w:p>
    <w:p w14:paraId="7626058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30、设备已获得NMPA认证；</w:t>
      </w:r>
    </w:p>
    <w:p w14:paraId="73CC432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31、设备具有过电流、过电压保护功能；</w:t>
      </w:r>
    </w:p>
    <w:p w14:paraId="4FB3CA5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32、设备通过电磁兼容、性能、安规检测；</w:t>
      </w:r>
    </w:p>
    <w:p w14:paraId="79D1867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33、设备使用年限：≥10年（提供铭牌照片证明）。</w:t>
      </w:r>
    </w:p>
    <w:p w14:paraId="390A113A">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712C9337">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序号26、四肢联动康复训练仪（主被动）</w:t>
      </w:r>
    </w:p>
    <w:p w14:paraId="7BF014E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1、使用电源：220V～，50Hz；</w:t>
      </w:r>
    </w:p>
    <w:p w14:paraId="71BBDD2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2、额定输入功率：150VA；</w:t>
      </w:r>
    </w:p>
    <w:p w14:paraId="1D6DF03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3、外形尺寸（长宽高）：1560mm*910mm*1260mm（±50mm）；</w:t>
      </w:r>
    </w:p>
    <w:p w14:paraId="38ED5B8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4、最大承重：180kg；</w:t>
      </w:r>
    </w:p>
    <w:p w14:paraId="7BBB556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5、座椅可360°旋转；每90°一档，分成4档；</w:t>
      </w:r>
    </w:p>
    <w:p w14:paraId="55293B9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6、座椅前后调整距离：315mm±10%；</w:t>
      </w:r>
    </w:p>
    <w:p w14:paraId="3063D3F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7、训练手杆长度280mm±5%，分1～15档刻度可调；</w:t>
      </w:r>
    </w:p>
    <w:p w14:paraId="2188C6C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8、座椅两侧均有扶手，扶手可折叠；</w:t>
      </w:r>
    </w:p>
    <w:p w14:paraId="49B39AA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9、左右训练手杆把套须能承载12ON的拉力，试验后无撕裂或滑脱；</w:t>
      </w:r>
    </w:p>
    <w:p w14:paraId="14E3406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10、具有护腿装置：可支撑单侧下肢，为下肢肌力小于2级和关节稳定性差的患者提供固定和保护，左右双侧可换；</w:t>
      </w:r>
    </w:p>
    <w:p w14:paraId="3726C6B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11、护腿装置：长度、宽度分档可调，调节髋外展外旋的幅度；</w:t>
      </w:r>
    </w:p>
    <w:p w14:paraId="05D6DAD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12、底部具有脚轮和地脚设计，方便设备的转移和固定；</w:t>
      </w:r>
    </w:p>
    <w:p w14:paraId="5B7F571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13、训练时间设置:1min～90min±30s可调，步进1min；</w:t>
      </w:r>
    </w:p>
    <w:p w14:paraId="353AB1A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14、设备采用上肢模拟伸缩运动，下肢模拟蹬踏运动模式进行训练；</w:t>
      </w:r>
    </w:p>
    <w:p w14:paraId="3EC1EC2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15、具备主动、被动训练功能；</w:t>
      </w:r>
    </w:p>
    <w:p w14:paraId="3C8343F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16、被动训练运动角度设置范围：5°～25°±3°；</w:t>
      </w:r>
    </w:p>
    <w:p w14:paraId="7CC4520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17、被动训练速度：1～8档可调，运动角度速度范围为：2.2°/s～5.7°/s±10%；</w:t>
      </w:r>
    </w:p>
    <w:p w14:paraId="7B0DBDD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18、具备主动联动功能：单侧训练手杆或脚踏板主动运动能带动另外一侧一起联动运动，具备健侧带动患侧、一肢带动三肢的功能；</w:t>
      </w:r>
    </w:p>
    <w:p w14:paraId="6AD229F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19、主动训练脚踏板运动角度范围：5°～30°±3°；</w:t>
      </w:r>
    </w:p>
    <w:p w14:paraId="31ADE3A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20、主动训练强度：运动阻力1～16级可调，扶手启动力范围：40N～90N±10%；</w:t>
      </w:r>
    </w:p>
    <w:p w14:paraId="2D35E98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Times New Roman"/>
          <w:b w:val="0"/>
          <w:bCs w:val="0"/>
          <w:color w:val="auto"/>
          <w:kern w:val="2"/>
          <w:sz w:val="21"/>
          <w:szCs w:val="21"/>
          <w:highlight w:val="none"/>
          <w:lang w:val="en-US" w:eastAsia="zh-CN" w:bidi="ar-SA"/>
        </w:rPr>
        <w:t>21、主动训练模式：6种：阻力模式、功率模式、爬坡模式、间隔模式、心率模式、体脂模式。（提供技术要求、说明书）；</w:t>
      </w:r>
    </w:p>
    <w:p w14:paraId="5A8B2F8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21.1、阻力模式：基本训练模式，默认的主动训练模式，可设置训练强度16级；</w:t>
      </w:r>
    </w:p>
    <w:p w14:paraId="75ED98D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21.2、功率模式：在模式参数中设置人体运动的功率，范围20W～400W；</w:t>
      </w:r>
    </w:p>
    <w:p w14:paraId="1C5A932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21.3、爬坡模式：训练强度随运动步数不断增加，达到最大训练强度时保持，根据训练强度不同区分强度级别4级；</w:t>
      </w:r>
    </w:p>
    <w:p w14:paraId="6BBB839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21.4、间隔模式：训练强度随运动步数不断增加，当达到最大训练强度时，训练强度从设置最小值重新增加，根据最大训练强度不同分为4级；</w:t>
      </w:r>
    </w:p>
    <w:p w14:paraId="7F2D3DE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21.5、心率模式：此模式训练强度与主动联动功能相同，设置最大与最小心率，读取外部心率监测设备心率数据，心率范围40次/分钟～210次/分钟任意设置，当心率超过设置范围时，康复仪文字提示；心率监测显示40次/分钟～210次/分钟范围内，允差±5％或5次/分钟中较大者；</w:t>
      </w:r>
    </w:p>
    <w:p w14:paraId="78F9403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21.6、体脂模式：在模式参数中设置患者年龄、身高、性别、体重信息，根据输入的患者信息自动生成的训练强度； </w:t>
      </w:r>
    </w:p>
    <w:p w14:paraId="11A34E6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22、具备安全紧急暂停功能；</w:t>
      </w:r>
    </w:p>
    <w:p w14:paraId="44F3278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23、安全防护装置：</w:t>
      </w:r>
    </w:p>
    <w:p w14:paraId="4528A6F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 xml:space="preserve">23.1、座位上具有防止使用者身体滑脱的绑带； </w:t>
      </w:r>
    </w:p>
    <w:p w14:paraId="67F4467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23.2、脚踏板安装牢固，具有足部绑带固定足部，防止滑落；</w:t>
      </w:r>
    </w:p>
    <w:p w14:paraId="4A406E9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23.3、具有手部绑带和护腿装置，防止手部和腿部滑落；</w:t>
      </w:r>
    </w:p>
    <w:p w14:paraId="6E65E3F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24、八寸彩色触控液晶屏，反应灵敏、显示清晰；</w:t>
      </w:r>
    </w:p>
    <w:p w14:paraId="229EB06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25、可设置参数：训练强度、训练速度、训练时间、训练角度、训练模式、最大心率、最小心率、年龄、身高、性别、体重设置；</w:t>
      </w:r>
    </w:p>
    <w:p w14:paraId="4B4A508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26、监控显示：运动步数、运动里程、卡路里、心率、步频、训练时间、实时角度显示功能；</w:t>
      </w:r>
    </w:p>
    <w:p w14:paraId="583E4B6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27、步频范围：0-999步/分，功率：20-400瓦，累积步数：0-9999步，卡路里：0-60000；</w:t>
      </w:r>
    </w:p>
    <w:p w14:paraId="50CBC02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28、心率监测模块通信接口：具有连接心率监测设备2.4G无线通讯接口；</w:t>
      </w:r>
    </w:p>
    <w:p w14:paraId="1B7B419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29、标配心率带；</w:t>
      </w:r>
    </w:p>
    <w:p w14:paraId="75AEB0D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30、使用电磁控阻力装置；</w:t>
      </w:r>
    </w:p>
    <w:p w14:paraId="561F909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31、康复仪在安全工作载荷时的运动噪声≤55dBA；</w:t>
      </w:r>
    </w:p>
    <w:p w14:paraId="70005A3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32、安全类型:I类、B型应用部分；</w:t>
      </w:r>
    </w:p>
    <w:p w14:paraId="03D28BC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33、熔断器：F3.15AL250V；</w:t>
      </w:r>
    </w:p>
    <w:p w14:paraId="71B695A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34、设备已获得NMPA认证；</w:t>
      </w:r>
    </w:p>
    <w:p w14:paraId="13D9F05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35、设备具有过电流、过电压保护功能；</w:t>
      </w:r>
    </w:p>
    <w:p w14:paraId="7A01755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36、设备通过电磁兼容、性能、安规检测；</w:t>
      </w:r>
    </w:p>
    <w:p w14:paraId="41C44F2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37、设备使用年限：≥10年（提供铭牌照片证明）。</w:t>
      </w:r>
    </w:p>
    <w:p w14:paraId="304394AB">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宋体"/>
          <w:b/>
          <w:bCs w:val="0"/>
          <w:color w:val="auto"/>
          <w:kern w:val="0"/>
          <w:sz w:val="21"/>
          <w:szCs w:val="21"/>
          <w:highlight w:val="none"/>
          <w:lang w:val="en-US" w:eastAsia="zh-CN" w:bidi="ar-SA"/>
        </w:rPr>
      </w:pPr>
    </w:p>
    <w:p w14:paraId="1F85AB88">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序号27、起立床</w:t>
      </w:r>
    </w:p>
    <w:p w14:paraId="4F97FAA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both"/>
        <w:textAlignment w:val="auto"/>
        <w:rPr>
          <w:rFonts w:hint="default" w:ascii="宋体" w:hAnsi="宋体" w:eastAsia="宋体" w:cs="Times New Roman"/>
          <w:b/>
          <w:bCs/>
          <w:color w:val="auto"/>
          <w:kern w:val="2"/>
          <w:sz w:val="21"/>
          <w:szCs w:val="21"/>
          <w:highlight w:val="none"/>
          <w:lang w:val="en-US" w:eastAsia="zh-CN" w:bidi="ar-SA"/>
        </w:rPr>
      </w:pPr>
      <w:r>
        <w:rPr>
          <w:rFonts w:hint="eastAsia" w:ascii="宋体" w:hAnsi="宋体" w:eastAsia="宋体" w:cs="Times New Roman"/>
          <w:b/>
          <w:bCs/>
          <w:color w:val="auto"/>
          <w:kern w:val="2"/>
          <w:sz w:val="21"/>
          <w:szCs w:val="21"/>
          <w:highlight w:val="none"/>
          <w:lang w:val="en-US" w:eastAsia="zh-CN" w:bidi="ar-SA"/>
        </w:rPr>
        <w:t>1、技术要求：</w:t>
      </w:r>
    </w:p>
    <w:p w14:paraId="40E1F19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1.1、采用电动调节系统，患者或治疗师可通过手控器轻松调节床体角度；</w:t>
      </w:r>
    </w:p>
    <w:p w14:paraId="693C8AA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1.2、通过逐步增加站立角度（从倾斜角度到完全直立），帮助患者适应直立状态，减少头晕或其他不适感；</w:t>
      </w:r>
    </w:p>
    <w:p w14:paraId="09DADBC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1.3、多重安全保护装置：配备紧急停止按钮、点动控制操控系统，确保在突发情况下设备能够快速响应并停止运行；</w:t>
      </w:r>
    </w:p>
    <w:p w14:paraId="7072264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1.4、防跌倒装置：配置有三条安全绑带和辅助升降台，防止患者在站立过程中因失去平衡而跌倒；</w:t>
      </w:r>
    </w:p>
    <w:p w14:paraId="77278E4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1.5、床垫采用高密度海绵质；</w:t>
      </w:r>
    </w:p>
    <w:p w14:paraId="2772287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1.6、可拆卸装置：部分部件（如绑带、辅助升降台）支持拆卸，便于清洁和维护；</w:t>
      </w:r>
    </w:p>
    <w:p w14:paraId="3A34CE9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1.7、人体工学设计：辅助升降台调节位置可根据患者身高进行调节；</w:t>
      </w:r>
    </w:p>
    <w:p w14:paraId="484E440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1.8、采用高强度钢材和耐用塑料制成；</w:t>
      </w:r>
    </w:p>
    <w:p w14:paraId="30DACCA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1.9、适用于中风后遗症患者、脊髓损伤患者、骨科术后康复患者（如髋关节置换、膝关节置换术后）、脑瘫患儿以及老年群体等。</w:t>
      </w:r>
    </w:p>
    <w:p w14:paraId="4B912A1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Times New Roman"/>
          <w:b/>
          <w:bCs/>
          <w:color w:val="auto"/>
          <w:kern w:val="2"/>
          <w:sz w:val="21"/>
          <w:szCs w:val="21"/>
          <w:highlight w:val="none"/>
          <w:lang w:val="en-US" w:eastAsia="zh-CN" w:bidi="ar-SA"/>
        </w:rPr>
        <w:t>2、技术参数：</w:t>
      </w:r>
    </w:p>
    <w:p w14:paraId="1F63096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2.1、使用电源：a.c.220V±22V，50Hz±5Hz；</w:t>
      </w:r>
    </w:p>
    <w:p w14:paraId="6F24551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2.2、额定输入功率：280VA；</w:t>
      </w:r>
    </w:p>
    <w:p w14:paraId="469E888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2.3、基本尺寸：</w:t>
      </w:r>
    </w:p>
    <w:p w14:paraId="66C3D7A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2.3.1、整机尺寸：长2270mm宽1010mm高2080mm，允差±50mm；</w:t>
      </w:r>
    </w:p>
    <w:p w14:paraId="3ED4E17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2.3.2、床体尺寸：长1760mm宽610mm，允差±50mm；</w:t>
      </w:r>
    </w:p>
    <w:p w14:paraId="6179391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2.3.3、辅助升降台台面尺寸：长650mm宽500mm，允差±50mm；厚度15mm，允差±5mm；</w:t>
      </w:r>
    </w:p>
    <w:p w14:paraId="485A862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2.3.4、脚踏板尺寸：长205mm 宽155mm，允差±5mm；</w:t>
      </w:r>
    </w:p>
    <w:p w14:paraId="63096AD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2.4、辅助升降台规格：</w:t>
      </w:r>
    </w:p>
    <w:p w14:paraId="7B9E6D0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2.4.1、辅助升降台最大承重≥20kg；</w:t>
      </w:r>
    </w:p>
    <w:p w14:paraId="408214E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2.4.2、辅助升降台手动调节范围为0～460mm，允差±50mm；</w:t>
      </w:r>
    </w:p>
    <w:p w14:paraId="785713D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2.5、床体站立角度调节功能：通过手控器对床体进行站立角度控制，站立角度范围0°～90°内连续可调，允差±3°；</w:t>
      </w:r>
    </w:p>
    <w:p w14:paraId="1683135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2.6、采用医用慢速推杆；</w:t>
      </w:r>
    </w:p>
    <w:p w14:paraId="6EAA186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2.7、操作时间：床体从水平到直立位置时的运行时间≥30s；</w:t>
      </w:r>
    </w:p>
    <w:p w14:paraId="6DA2BEA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2.8、电动推杆最大推力：≥6000N；最大拉力≥4000N，电动推杆自锁力（推）：≥6000N；自锁力（拉）：≥4000N；</w:t>
      </w:r>
    </w:p>
    <w:p w14:paraId="7F9515D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2.9、电动推杆行程：0～400mm ；</w:t>
      </w:r>
    </w:p>
    <w:p w14:paraId="5687191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2.10、电动推杆使用频率：10%，连续工作≥2分钟；</w:t>
      </w:r>
    </w:p>
    <w:p w14:paraId="643FE00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2.11、电动推杆防护等级不低于IPX4；</w:t>
      </w:r>
    </w:p>
    <w:p w14:paraId="77763DE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2.12、内置限位开关；有过载保护；</w:t>
      </w:r>
    </w:p>
    <w:p w14:paraId="57AED00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2.13、采用大推力静音进口医用电机；</w:t>
      </w:r>
    </w:p>
    <w:p w14:paraId="3177785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2.14、三绑带模式：配备胸、腰部，腿部绑带，可移动，可拆卸；</w:t>
      </w:r>
    </w:p>
    <w:p w14:paraId="2A53FEA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2.15、胸、腰部绑带尺寸：长2000mm 宽120mm；腿部绑带尺寸：长1900mm宽120mm；固定带应能承受50kg拉力并持续30min不破损；</w:t>
      </w:r>
    </w:p>
    <w:p w14:paraId="44F26E7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2.16、安全工作载荷：训练器床体的安全工作载荷≥170kg；</w:t>
      </w:r>
    </w:p>
    <w:p w14:paraId="2C209A5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2.17、活动脚轮和固定脚装置：训练器具有活动脚轮和固定脚装置。在平坦地面上放置时，活动脚轮应同时着地并具有锁止装置；使用固定脚后，活动脚轮升起，固定脚着地，在地面上放置稳定。</w:t>
      </w:r>
    </w:p>
    <w:p w14:paraId="46EEF7E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2.18、紧急停止功能：具有紧急停止功能，按下紧急开关按钮，训练器立即停止工作；</w:t>
      </w:r>
    </w:p>
    <w:p w14:paraId="20F2B4D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2.19、训练器在安全工作载荷时的运动噪音≤55dB(A)；</w:t>
      </w:r>
    </w:p>
    <w:p w14:paraId="317D09D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2.20、脚踏板调节功能：通过手动装置对每个脚踏板均可进行站立时踝关节背屈/跖屈角度调节，调节范围﹣30°～30°，允差士3°；</w:t>
      </w:r>
    </w:p>
    <w:p w14:paraId="2BB05BD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2.21、宽敞的床面，采用抗菌耐磨皮革，高阻燃性、抗菌、耐温、防划、高弹力海绵床面，经久耐用；</w:t>
      </w:r>
    </w:p>
    <w:p w14:paraId="45CAF56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2.22、安全类型：II类、B型应用部分；</w:t>
      </w:r>
    </w:p>
    <w:p w14:paraId="6642E0C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2.23、设备运行模式：连续运行；</w:t>
      </w:r>
    </w:p>
    <w:p w14:paraId="49D2750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2.24、防进液等级：IPX0；</w:t>
      </w:r>
    </w:p>
    <w:p w14:paraId="7D92A1C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2.25、设备具有过电流、过电压保护功能；</w:t>
      </w:r>
    </w:p>
    <w:p w14:paraId="1F4E762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2.26、设备使用年限：10年（提供铭牌照片证明）。</w:t>
      </w:r>
    </w:p>
    <w:p w14:paraId="6439D8E6">
      <w:pPr>
        <w:pStyle w:val="26"/>
        <w:keepNext w:val="0"/>
        <w:keepLines w:val="0"/>
        <w:pageBreakBefore w:val="0"/>
        <w:kinsoku/>
        <w:wordWrap/>
        <w:overflowPunct/>
        <w:topLinePunct w:val="0"/>
        <w:bidi w:val="0"/>
        <w:snapToGrid/>
        <w:spacing w:line="360" w:lineRule="auto"/>
        <w:ind w:right="0" w:rightChars="0" w:firstLine="0" w:firstLineChars="0"/>
        <w:jc w:val="both"/>
        <w:rPr>
          <w:rFonts w:hint="eastAsia" w:ascii="宋体" w:hAnsi="宋体" w:eastAsia="宋体" w:cs="宋体"/>
          <w:b/>
          <w:bCs w:val="0"/>
          <w:color w:val="auto"/>
          <w:kern w:val="0"/>
          <w:sz w:val="21"/>
          <w:szCs w:val="21"/>
          <w:highlight w:val="none"/>
          <w:lang w:val="en-US" w:eastAsia="zh-CN" w:bidi="ar-SA"/>
        </w:rPr>
      </w:pPr>
    </w:p>
    <w:p w14:paraId="36CF73BA">
      <w:pPr>
        <w:pStyle w:val="26"/>
        <w:keepNext w:val="0"/>
        <w:keepLines w:val="0"/>
        <w:pageBreakBefore w:val="0"/>
        <w:kinsoku/>
        <w:wordWrap/>
        <w:overflowPunct/>
        <w:topLinePunct w:val="0"/>
        <w:bidi w:val="0"/>
        <w:snapToGrid/>
        <w:spacing w:line="360" w:lineRule="auto"/>
        <w:ind w:right="0" w:rightChars="0" w:firstLine="0" w:firstLineChars="0"/>
        <w:jc w:val="center"/>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序号28、老年人能力综合评估系统</w:t>
      </w:r>
    </w:p>
    <w:p w14:paraId="7243C27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1、技术参数要求</w:t>
      </w:r>
    </w:p>
    <w:p w14:paraId="70F4B4F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1.1、电源电压：AC220 V±22 V，电源频率：50 Hz±1 Hz；</w:t>
      </w:r>
    </w:p>
    <w:p w14:paraId="794F1F1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1.2、适用于上肢功能、下肢功能、脊柱功能、平衡功能、综合拓展以及功能检测评定，也可进行颈椎、腰椎、肩关节、肘关节、腕关节、髋关节、膝关节、踝关节等运动功能康复训练；</w:t>
      </w:r>
    </w:p>
    <w:p w14:paraId="74932E8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1.3、功能模块：上肢功能康复训练、下肢功能康复训练、脊柱功能康复训练、平衡功能康复训练、综合拓展训练；</w:t>
      </w:r>
    </w:p>
    <w:p w14:paraId="431C145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1.3.1、上肢功能康复训练模块：针对上肢运动、手指精细动作以及ADL日常生活基本动作训练提供相应的体感互动主题游戏，用于上肢功能的康复训练；</w:t>
      </w:r>
    </w:p>
    <w:p w14:paraId="25CE4BF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1.3.2、下肢功能康复训练模块：针对下肢关节活动度、肌力、步行能力以及ADL日常生活基本动作训练提供相应的体感互动主题游戏，用于下肢功能的康复训练；</w:t>
      </w:r>
    </w:p>
    <w:p w14:paraId="7BD3A53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1.3.3、脊柱功能康复训练模块：针对脊柱的姿势、柔韧性以及稳定性提供相应的体感互动主题游戏，可提高患者的脊椎运动能力，有助于治疗或预防颈椎病、颈肩部肌肉劳损、肌力耐力低下等；</w:t>
      </w:r>
    </w:p>
    <w:p w14:paraId="489DDC4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1.3.4、平衡功能康复训练模块：针对静态平衡提供相应的体感互动主题游戏，充分利用虚拟情景、远近景和动静景的视觉呈现效果，提供丰富的视觉、感知觉刺激元素，促进平衡感控制；</w:t>
      </w:r>
    </w:p>
    <w:p w14:paraId="32A7459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1.3.5、综合拓展训练模块：主要用于身体机能的综合拓展训练，动作由简单到复杂，由单个肢体到多个肢体进行全身联合协调运动，促进运动系统的协调能力，改善和提升身体运动机能，调适身心状态。</w:t>
      </w:r>
    </w:p>
    <w:p w14:paraId="1CD0F60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Times New Roman"/>
          <w:b/>
          <w:bCs/>
          <w:color w:val="auto"/>
          <w:kern w:val="2"/>
          <w:sz w:val="21"/>
          <w:szCs w:val="21"/>
          <w:highlight w:val="none"/>
          <w:lang w:val="en-US" w:eastAsia="zh-CN" w:bidi="ar-SA"/>
        </w:rPr>
        <w:t>2、配置要求：</w:t>
      </w:r>
    </w:p>
    <w:p w14:paraId="4CB25D1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2.1、CPU：Inteli5主频为3.1-GHz或更快的处理器；</w:t>
      </w:r>
    </w:p>
    <w:p w14:paraId="0C8D03A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2.2、内存：≥4G（或以上）；</w:t>
      </w:r>
    </w:p>
    <w:p w14:paraId="6E15EDF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2.3、硬盘：≥500G（或以上）；</w:t>
      </w:r>
    </w:p>
    <w:p w14:paraId="50BECDE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2.4、操作系统：win7（32bit）；</w:t>
      </w:r>
    </w:p>
    <w:p w14:paraId="5385BF4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2.5、USB2.0接口；</w:t>
      </w:r>
    </w:p>
    <w:p w14:paraId="76BE759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2.6、≥46寸大屏幕液晶电视；</w:t>
      </w:r>
    </w:p>
    <w:p w14:paraId="138E319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2.7、远红外人体动作捕捉设备。</w:t>
      </w:r>
    </w:p>
    <w:p w14:paraId="0187F169">
      <w:pPr>
        <w:keepNext w:val="0"/>
        <w:keepLines w:val="0"/>
        <w:pageBreakBefore w:val="0"/>
        <w:widowControl/>
        <w:shd w:val="clear" w:color="auto" w:fill="FFFFFF"/>
        <w:kinsoku/>
        <w:wordWrap/>
        <w:overflowPunct/>
        <w:topLinePunct w:val="0"/>
        <w:autoSpaceDE/>
        <w:autoSpaceDN/>
        <w:bidi w:val="0"/>
        <w:adjustRightInd/>
        <w:snapToGrid/>
        <w:spacing w:line="360" w:lineRule="auto"/>
        <w:jc w:val="both"/>
        <w:textAlignment w:val="auto"/>
        <w:rPr>
          <w:rFonts w:hint="eastAsia" w:ascii="宋体" w:hAnsi="宋体"/>
          <w:color w:val="auto"/>
          <w:szCs w:val="21"/>
          <w:highlight w:val="none"/>
        </w:rPr>
      </w:pPr>
      <w:r>
        <w:rPr>
          <w:rFonts w:hint="eastAsia" w:ascii="宋体" w:hAnsi="宋体" w:eastAsia="宋体" w:cs="宋体"/>
          <w:b w:val="0"/>
          <w:bCs/>
          <w:color w:val="auto"/>
          <w:kern w:val="2"/>
          <w:sz w:val="21"/>
          <w:szCs w:val="21"/>
          <w:highlight w:val="none"/>
          <w:lang w:val="en-US" w:eastAsia="zh-CN" w:bidi="ar-SA"/>
        </w:rPr>
        <w:br w:type="page"/>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bCs/>
          <w:color w:val="auto"/>
          <w:szCs w:val="21"/>
          <w:highlight w:val="none"/>
          <w:lang w:val="en-US" w:eastAsia="zh-CN"/>
        </w:rPr>
        <w:t>三、商务要求</w:t>
      </w:r>
      <w:r>
        <w:rPr>
          <w:rFonts w:hint="eastAsia" w:ascii="宋体" w:hAnsi="宋体" w:eastAsia="宋体" w:cs="Times New Roman"/>
          <w:b w:val="0"/>
          <w:color w:val="auto"/>
          <w:kern w:val="2"/>
          <w:sz w:val="21"/>
          <w:szCs w:val="21"/>
          <w:highlight w:val="none"/>
          <w:lang w:val="en-US" w:eastAsia="zh-CN" w:bidi="ar-SA"/>
        </w:rPr>
        <w:t>（所有条款为不允许负偏离的实质性要求和条件）</w:t>
      </w:r>
    </w:p>
    <w:p w14:paraId="0E5A651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b w:val="0"/>
          <w:bCs/>
          <w:color w:val="auto"/>
          <w:szCs w:val="21"/>
          <w:highlight w:val="none"/>
        </w:rPr>
        <w:t>1、交</w:t>
      </w:r>
      <w:r>
        <w:rPr>
          <w:rFonts w:hint="eastAsia" w:ascii="宋体" w:hAnsi="宋体" w:eastAsia="宋体" w:cs="Times New Roman"/>
          <w:b w:val="0"/>
          <w:bCs w:val="0"/>
          <w:color w:val="auto"/>
          <w:kern w:val="2"/>
          <w:sz w:val="21"/>
          <w:szCs w:val="21"/>
          <w:highlight w:val="none"/>
          <w:lang w:val="en-US" w:eastAsia="zh-CN" w:bidi="ar-SA"/>
        </w:rPr>
        <w:t>货期及交货及安装地点</w:t>
      </w:r>
    </w:p>
    <w:p w14:paraId="79E5521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1.1、交货期：签订合同,接采购人通知后15个日历日内完成到货安装。</w:t>
      </w:r>
    </w:p>
    <w:p w14:paraId="6A05C06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1.2、交货及安装地点：采购人指定地点。</w:t>
      </w:r>
    </w:p>
    <w:p w14:paraId="45E97F4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2、验收标准、规范</w:t>
      </w:r>
    </w:p>
    <w:p w14:paraId="101A04F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2.1、以相应的国家或者行业标准及采购文件规定的具体要求为准，如需进行验证的中标人须积极配合。</w:t>
      </w:r>
    </w:p>
    <w:p w14:paraId="35A0C90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2.2、采购人将按照招标文件、响应文件及双方签订的合同进行验收，验收过程中如需第三方机构介入，所产生的费用由投标人自行承担。（只对安全到达指定地点的合格产品进行验收，运输过程中的安全及质量损坏、数量损失由供应商自行负责）。</w:t>
      </w:r>
    </w:p>
    <w:p w14:paraId="0BADCB4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3、培训</w:t>
      </w:r>
    </w:p>
    <w:p w14:paraId="2103ABA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3.1、设备有厂家专业工程师安装调试完成后，在用户所在地对用户进行现场免费培训，内容包括仪器原理、操作和维护保养知识，费用由中标人承担；</w:t>
      </w:r>
    </w:p>
    <w:p w14:paraId="3F37525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3.2、现场培训至操作人员正常操作设备后才进行验收，</w:t>
      </w:r>
    </w:p>
    <w:p w14:paraId="4A3AE4D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3.3、能长期免费提供产品的性能、使用、维护等方面的技术咨询。</w:t>
      </w:r>
    </w:p>
    <w:p w14:paraId="5946EC6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4、售后服务</w:t>
      </w:r>
    </w:p>
    <w:p w14:paraId="62E5097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4.1、为保障设备正常运行，所投产品必须在中国境内具有备品备件库。</w:t>
      </w:r>
    </w:p>
    <w:p w14:paraId="5D56920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4.2、在质保期内，如发生质量问题，中标人保证在接到通知后，应在4小时内立即给予答复；并派合格的维修工程师到用户现场进行维修，所产生的费用由中标人负责。如中标人在接到通知后承诺到场时间内没有处理问题，则视为承认质量问题并承担由此而发生的一切费用。质保期间的一切质量问题，更换部件及本身质量原因造成的直接经济损失应全部由中标人自行负责。</w:t>
      </w:r>
    </w:p>
    <w:p w14:paraId="229EB20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4.3、投标时须提供详尽的售后服务计划，计划应包括但不限于以下内容：</w:t>
      </w:r>
    </w:p>
    <w:p w14:paraId="12DEC2D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4.3.1、售后服务体系。</w:t>
      </w:r>
    </w:p>
    <w:p w14:paraId="3D36A8D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4.3.2 、产品保质期内的服务承诺。</w:t>
      </w:r>
    </w:p>
    <w:p w14:paraId="4DC8024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5、质保期：验收合格之日起质保伍</w:t>
      </w:r>
      <w:r>
        <w:rPr>
          <w:rFonts w:hint="eastAsia" w:ascii="宋体" w:hAnsi="宋体" w:eastAsia="宋体" w:cs="Times New Roman"/>
          <w:b/>
          <w:bCs/>
          <w:color w:val="auto"/>
          <w:kern w:val="2"/>
          <w:sz w:val="21"/>
          <w:szCs w:val="21"/>
          <w:highlight w:val="none"/>
          <w:lang w:val="en-US" w:eastAsia="zh-CN" w:bidi="ar-SA"/>
        </w:rPr>
        <w:t>年</w:t>
      </w:r>
      <w:r>
        <w:rPr>
          <w:rFonts w:hint="eastAsia" w:ascii="宋体" w:hAnsi="宋体" w:eastAsia="宋体" w:cs="Times New Roman"/>
          <w:b w:val="0"/>
          <w:bCs w:val="0"/>
          <w:color w:val="auto"/>
          <w:kern w:val="2"/>
          <w:sz w:val="21"/>
          <w:szCs w:val="21"/>
          <w:highlight w:val="none"/>
          <w:lang w:val="en-US" w:eastAsia="zh-CN" w:bidi="ar-SA"/>
        </w:rPr>
        <w:t>。所有设备质保期按照国家规定执行三包服务，自设备安装调试完毕并验收合格办理交接手续之日起计算。</w:t>
      </w:r>
    </w:p>
    <w:p w14:paraId="634D196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6、付款方式：本项目所有设备完成交货、安装调试、整体验收合格后，乙方开具有效足额发票，半年内甲方一次性支付合同总金额100%款项。</w:t>
      </w:r>
    </w:p>
    <w:p w14:paraId="5511A5AF">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
          <w:bCs/>
          <w:kern w:val="2"/>
          <w:sz w:val="24"/>
          <w:szCs w:val="24"/>
          <w:highlight w:val="none"/>
          <w:lang w:val="en-US" w:eastAsia="zh-CN" w:bidi="ar"/>
        </w:rPr>
      </w:pPr>
      <w:r>
        <w:rPr>
          <w:rStyle w:val="34"/>
          <w:rFonts w:hint="eastAsia"/>
          <w:highlight w:val="none"/>
        </w:rPr>
        <w:br w:type="page"/>
      </w:r>
    </w:p>
    <w:p w14:paraId="79B051B2">
      <w:pPr>
        <w:pStyle w:val="3"/>
        <w:numPr>
          <w:ilvl w:val="0"/>
          <w:numId w:val="0"/>
        </w:numPr>
        <w:spacing w:line="360" w:lineRule="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lang w:val="en-US" w:eastAsia="zh-CN" w:bidi="ar-SA"/>
        </w:rPr>
        <w:t>四、</w:t>
      </w:r>
      <w:r>
        <w:rPr>
          <w:rFonts w:hint="eastAsia" w:ascii="宋体" w:hAnsi="宋体" w:eastAsia="宋体" w:cs="宋体"/>
          <w:color w:val="auto"/>
          <w:sz w:val="28"/>
          <w:szCs w:val="28"/>
          <w:highlight w:val="none"/>
        </w:rPr>
        <w:t>评分标准及分值</w:t>
      </w:r>
    </w:p>
    <w:p w14:paraId="70807DFD">
      <w:pPr>
        <w:numPr>
          <w:ilvl w:val="0"/>
          <w:numId w:val="0"/>
        </w:numPr>
        <w:rPr>
          <w:rFonts w:hint="eastAsia" w:ascii="宋体" w:hAnsi="宋体" w:eastAsia="宋体" w:cs="宋体"/>
          <w:highlight w:val="none"/>
          <w:lang w:val="en-US" w:eastAsia="zh-CN"/>
        </w:rPr>
      </w:pPr>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380"/>
        <w:gridCol w:w="640"/>
        <w:gridCol w:w="6387"/>
      </w:tblGrid>
      <w:tr w14:paraId="300A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959" w:type="dxa"/>
            <w:tcBorders>
              <w:top w:val="single" w:color="auto" w:sz="4" w:space="0"/>
              <w:left w:val="single" w:color="auto" w:sz="4" w:space="0"/>
              <w:bottom w:val="single" w:color="auto" w:sz="4" w:space="0"/>
              <w:right w:val="single" w:color="auto" w:sz="4" w:space="0"/>
            </w:tcBorders>
            <w:noWrap w:val="0"/>
            <w:vAlign w:val="center"/>
          </w:tcPr>
          <w:p w14:paraId="63DFDD0E">
            <w:pPr>
              <w:pStyle w:val="24"/>
              <w:jc w:val="center"/>
              <w:rPr>
                <w:rFonts w:ascii="宋体" w:hAnsi="宋体" w:eastAsia="宋体" w:cs="Times New Roman"/>
                <w:b/>
                <w:bCs/>
                <w:sz w:val="21"/>
                <w:szCs w:val="21"/>
              </w:rPr>
            </w:pPr>
            <w:r>
              <w:rPr>
                <w:rFonts w:hint="eastAsia" w:ascii="宋体" w:hAnsi="宋体" w:eastAsia="宋体" w:cs="Times New Roman"/>
                <w:b/>
                <w:bCs/>
                <w:sz w:val="21"/>
                <w:szCs w:val="21"/>
              </w:rPr>
              <w:t>评分</w:t>
            </w:r>
          </w:p>
          <w:p w14:paraId="3C863B13">
            <w:pPr>
              <w:pStyle w:val="24"/>
              <w:jc w:val="center"/>
              <w:rPr>
                <w:rFonts w:ascii="宋体" w:hAnsi="宋体" w:eastAsia="宋体" w:cs="Times New Roman"/>
                <w:b/>
                <w:bCs/>
                <w:sz w:val="21"/>
                <w:szCs w:val="21"/>
              </w:rPr>
            </w:pPr>
            <w:r>
              <w:rPr>
                <w:rFonts w:hint="eastAsia" w:ascii="宋体" w:hAnsi="宋体" w:eastAsia="宋体" w:cs="Times New Roman"/>
                <w:b/>
                <w:bCs/>
                <w:sz w:val="21"/>
                <w:szCs w:val="21"/>
              </w:rPr>
              <w:t>类别</w:t>
            </w:r>
          </w:p>
        </w:tc>
        <w:tc>
          <w:tcPr>
            <w:tcW w:w="1380" w:type="dxa"/>
            <w:tcBorders>
              <w:top w:val="single" w:color="auto" w:sz="4" w:space="0"/>
              <w:left w:val="nil"/>
              <w:bottom w:val="single" w:color="auto" w:sz="4" w:space="0"/>
              <w:right w:val="single" w:color="auto" w:sz="4" w:space="0"/>
            </w:tcBorders>
            <w:noWrap w:val="0"/>
            <w:vAlign w:val="center"/>
          </w:tcPr>
          <w:p w14:paraId="165BBE51">
            <w:pPr>
              <w:pStyle w:val="24"/>
              <w:jc w:val="center"/>
              <w:rPr>
                <w:rFonts w:ascii="宋体" w:hAnsi="宋体" w:eastAsia="宋体" w:cs="Times New Roman"/>
                <w:b/>
                <w:bCs/>
                <w:sz w:val="21"/>
                <w:szCs w:val="21"/>
              </w:rPr>
            </w:pPr>
            <w:r>
              <w:rPr>
                <w:rFonts w:hint="eastAsia" w:ascii="宋体" w:hAnsi="宋体" w:eastAsia="宋体" w:cs="Times New Roman"/>
                <w:b/>
                <w:bCs/>
                <w:sz w:val="21"/>
                <w:szCs w:val="21"/>
              </w:rPr>
              <w:t>评分</w:t>
            </w:r>
          </w:p>
          <w:p w14:paraId="4BC22E67">
            <w:pPr>
              <w:pStyle w:val="24"/>
              <w:jc w:val="center"/>
              <w:rPr>
                <w:rFonts w:ascii="宋体" w:hAnsi="宋体" w:eastAsia="宋体" w:cs="Times New Roman"/>
                <w:b/>
                <w:bCs/>
                <w:sz w:val="21"/>
                <w:szCs w:val="21"/>
              </w:rPr>
            </w:pPr>
            <w:r>
              <w:rPr>
                <w:rFonts w:hint="eastAsia" w:ascii="宋体" w:hAnsi="宋体" w:eastAsia="宋体" w:cs="Times New Roman"/>
                <w:b/>
                <w:bCs/>
                <w:sz w:val="21"/>
                <w:szCs w:val="21"/>
              </w:rPr>
              <w:t>细项</w:t>
            </w:r>
          </w:p>
        </w:tc>
        <w:tc>
          <w:tcPr>
            <w:tcW w:w="640" w:type="dxa"/>
            <w:tcBorders>
              <w:top w:val="single" w:color="auto" w:sz="4" w:space="0"/>
              <w:left w:val="nil"/>
              <w:bottom w:val="single" w:color="auto" w:sz="4" w:space="0"/>
              <w:right w:val="single" w:color="auto" w:sz="4" w:space="0"/>
            </w:tcBorders>
            <w:noWrap w:val="0"/>
            <w:vAlign w:val="center"/>
          </w:tcPr>
          <w:p w14:paraId="45511BBB">
            <w:pPr>
              <w:pStyle w:val="24"/>
              <w:jc w:val="center"/>
              <w:rPr>
                <w:rFonts w:ascii="宋体" w:hAnsi="宋体" w:eastAsia="宋体" w:cs="Times New Roman"/>
                <w:b/>
                <w:bCs/>
                <w:sz w:val="21"/>
                <w:szCs w:val="21"/>
              </w:rPr>
            </w:pPr>
            <w:r>
              <w:rPr>
                <w:rFonts w:hint="eastAsia" w:ascii="宋体" w:hAnsi="宋体" w:eastAsia="宋体" w:cs="Times New Roman"/>
                <w:b/>
                <w:bCs/>
                <w:sz w:val="21"/>
                <w:szCs w:val="21"/>
              </w:rPr>
              <w:t>分值</w:t>
            </w:r>
          </w:p>
        </w:tc>
        <w:tc>
          <w:tcPr>
            <w:tcW w:w="6387" w:type="dxa"/>
            <w:tcBorders>
              <w:top w:val="single" w:color="auto" w:sz="4" w:space="0"/>
              <w:left w:val="nil"/>
              <w:bottom w:val="single" w:color="auto" w:sz="4" w:space="0"/>
              <w:right w:val="single" w:color="auto" w:sz="4" w:space="0"/>
            </w:tcBorders>
            <w:noWrap w:val="0"/>
            <w:vAlign w:val="center"/>
          </w:tcPr>
          <w:p w14:paraId="019634A4">
            <w:pPr>
              <w:pStyle w:val="24"/>
              <w:jc w:val="center"/>
              <w:rPr>
                <w:rFonts w:ascii="宋体" w:hAnsi="宋体" w:eastAsia="宋体" w:cs="Times New Roman"/>
                <w:b/>
                <w:bCs/>
                <w:sz w:val="21"/>
                <w:szCs w:val="21"/>
              </w:rPr>
            </w:pPr>
            <w:r>
              <w:rPr>
                <w:rFonts w:hint="eastAsia" w:ascii="宋体" w:hAnsi="宋体" w:eastAsia="宋体" w:cs="Times New Roman"/>
                <w:b/>
                <w:bCs/>
                <w:sz w:val="21"/>
                <w:szCs w:val="21"/>
              </w:rPr>
              <w:t>评分细则</w:t>
            </w:r>
          </w:p>
        </w:tc>
      </w:tr>
      <w:tr w14:paraId="5E82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59" w:type="dxa"/>
            <w:tcBorders>
              <w:top w:val="single" w:color="auto" w:sz="4" w:space="0"/>
              <w:left w:val="single" w:color="auto" w:sz="4" w:space="0"/>
              <w:bottom w:val="single" w:color="auto" w:sz="4" w:space="0"/>
              <w:right w:val="single" w:color="auto" w:sz="4" w:space="0"/>
            </w:tcBorders>
            <w:noWrap w:val="0"/>
            <w:vAlign w:val="center"/>
          </w:tcPr>
          <w:p w14:paraId="7A3FE919">
            <w:pPr>
              <w:pStyle w:val="24"/>
              <w:jc w:val="center"/>
              <w:rPr>
                <w:rFonts w:ascii="宋体" w:hAnsi="宋体" w:eastAsia="宋体" w:cs="Times New Roman"/>
                <w:sz w:val="21"/>
                <w:szCs w:val="21"/>
              </w:rPr>
            </w:pPr>
            <w:r>
              <w:rPr>
                <w:rFonts w:hint="eastAsia" w:ascii="宋体" w:hAnsi="宋体" w:eastAsia="宋体" w:cs="Times New Roman"/>
                <w:sz w:val="21"/>
                <w:szCs w:val="21"/>
              </w:rPr>
              <w:t>价格分</w:t>
            </w:r>
          </w:p>
          <w:p w14:paraId="562C9954">
            <w:pPr>
              <w:pStyle w:val="24"/>
              <w:jc w:val="center"/>
              <w:rPr>
                <w:rFonts w:ascii="宋体" w:hAnsi="宋体" w:eastAsia="宋体" w:cs="Times New Roman"/>
                <w:sz w:val="21"/>
                <w:szCs w:val="21"/>
              </w:rPr>
            </w:pPr>
            <w:r>
              <w:rPr>
                <w:rFonts w:hint="eastAsia" w:ascii="宋体" w:hAnsi="宋体" w:eastAsia="宋体" w:cs="Times New Roman"/>
                <w:sz w:val="21"/>
                <w:szCs w:val="21"/>
              </w:rPr>
              <w:t>（</w:t>
            </w:r>
            <w:r>
              <w:rPr>
                <w:rFonts w:hint="eastAsia" w:ascii="宋体" w:hAnsi="宋体" w:eastAsia="宋体" w:cs="Times New Roman"/>
                <w:sz w:val="21"/>
                <w:szCs w:val="21"/>
                <w:lang w:val="en-US" w:eastAsia="zh-CN"/>
              </w:rPr>
              <w:t>30</w:t>
            </w:r>
            <w:r>
              <w:rPr>
                <w:rFonts w:hint="eastAsia" w:ascii="宋体" w:hAnsi="宋体" w:eastAsia="宋体" w:cs="Times New Roman"/>
                <w:sz w:val="21"/>
                <w:szCs w:val="21"/>
              </w:rPr>
              <w:t>分）</w:t>
            </w:r>
          </w:p>
        </w:tc>
        <w:tc>
          <w:tcPr>
            <w:tcW w:w="1380" w:type="dxa"/>
            <w:tcBorders>
              <w:top w:val="single" w:color="auto" w:sz="4" w:space="0"/>
              <w:left w:val="nil"/>
              <w:bottom w:val="single" w:color="auto" w:sz="4" w:space="0"/>
              <w:right w:val="single" w:color="auto" w:sz="4" w:space="0"/>
            </w:tcBorders>
            <w:noWrap w:val="0"/>
            <w:vAlign w:val="center"/>
          </w:tcPr>
          <w:p w14:paraId="2E206A56">
            <w:pPr>
              <w:pStyle w:val="24"/>
              <w:jc w:val="center"/>
              <w:rPr>
                <w:rFonts w:ascii="宋体" w:hAnsi="宋体" w:eastAsia="宋体" w:cs="Times New Roman"/>
                <w:sz w:val="21"/>
                <w:szCs w:val="21"/>
              </w:rPr>
            </w:pPr>
            <w:r>
              <w:rPr>
                <w:rFonts w:hint="eastAsia" w:ascii="宋体" w:hAnsi="宋体" w:eastAsia="宋体" w:cs="Times New Roman"/>
                <w:sz w:val="21"/>
                <w:szCs w:val="21"/>
              </w:rPr>
              <w:t>价格分</w:t>
            </w:r>
          </w:p>
        </w:tc>
        <w:tc>
          <w:tcPr>
            <w:tcW w:w="640" w:type="dxa"/>
            <w:tcBorders>
              <w:top w:val="single" w:color="auto" w:sz="4" w:space="0"/>
              <w:left w:val="nil"/>
              <w:bottom w:val="single" w:color="auto" w:sz="4" w:space="0"/>
              <w:right w:val="single" w:color="auto" w:sz="4" w:space="0"/>
            </w:tcBorders>
            <w:noWrap w:val="0"/>
            <w:vAlign w:val="center"/>
          </w:tcPr>
          <w:p w14:paraId="03F6734C">
            <w:pPr>
              <w:pStyle w:val="24"/>
              <w:jc w:val="center"/>
              <w:rPr>
                <w:rFonts w:ascii="宋体" w:hAnsi="宋体" w:eastAsia="宋体" w:cs="Times New Roman"/>
                <w:sz w:val="21"/>
                <w:szCs w:val="21"/>
              </w:rPr>
            </w:pPr>
            <w:r>
              <w:rPr>
                <w:rFonts w:hint="eastAsia" w:ascii="宋体" w:hAnsi="宋体" w:eastAsia="宋体" w:cs="Times New Roman"/>
                <w:sz w:val="21"/>
                <w:szCs w:val="21"/>
                <w:lang w:val="en-US" w:eastAsia="zh-CN"/>
              </w:rPr>
              <w:t>3</w:t>
            </w:r>
            <w:r>
              <w:rPr>
                <w:rFonts w:hint="eastAsia" w:ascii="宋体" w:hAnsi="宋体" w:eastAsia="宋体" w:cs="Times New Roman"/>
                <w:sz w:val="21"/>
                <w:szCs w:val="21"/>
              </w:rPr>
              <w:t>0分</w:t>
            </w:r>
          </w:p>
        </w:tc>
        <w:tc>
          <w:tcPr>
            <w:tcW w:w="6387" w:type="dxa"/>
            <w:tcBorders>
              <w:top w:val="single" w:color="auto" w:sz="4" w:space="0"/>
              <w:left w:val="nil"/>
              <w:bottom w:val="single" w:color="auto" w:sz="4" w:space="0"/>
              <w:right w:val="single" w:color="auto" w:sz="4" w:space="0"/>
            </w:tcBorders>
            <w:noWrap w:val="0"/>
            <w:vAlign w:val="top"/>
          </w:tcPr>
          <w:p w14:paraId="5DF32793">
            <w:pPr>
              <w:pStyle w:val="24"/>
              <w:jc w:val="both"/>
              <w:rPr>
                <w:rFonts w:ascii="宋体" w:hAnsi="宋体" w:eastAsia="宋体" w:cs="Times New Roman"/>
                <w:sz w:val="21"/>
                <w:szCs w:val="21"/>
              </w:rPr>
            </w:pPr>
            <w:r>
              <w:rPr>
                <w:rFonts w:hint="eastAsia" w:ascii="宋体" w:hAnsi="宋体" w:eastAsia="宋体" w:cs="Times New Roman"/>
                <w:sz w:val="21"/>
                <w:szCs w:val="21"/>
                <w:lang w:val="en-US" w:eastAsia="zh-CN"/>
              </w:rPr>
              <w:t>价格</w:t>
            </w:r>
            <w:r>
              <w:rPr>
                <w:rFonts w:hint="eastAsia" w:ascii="宋体" w:hAnsi="宋体" w:eastAsia="宋体" w:cs="Times New Roman"/>
                <w:sz w:val="21"/>
                <w:szCs w:val="21"/>
              </w:rPr>
              <w:t>分=（</w:t>
            </w:r>
            <w:r>
              <w:rPr>
                <w:rFonts w:hint="eastAsia" w:ascii="宋体" w:hAnsi="宋体" w:eastAsia="宋体" w:cs="宋体"/>
                <w:color w:val="auto"/>
                <w:kern w:val="2"/>
                <w:sz w:val="21"/>
                <w:szCs w:val="21"/>
                <w:highlight w:val="none"/>
                <w:lang w:val="en-US" w:eastAsia="zh-CN"/>
              </w:rPr>
              <w:t>最低报价评审总报价</w:t>
            </w:r>
            <w:r>
              <w:rPr>
                <w:rFonts w:hint="eastAsia" w:ascii="宋体" w:hAnsi="宋体" w:eastAsia="宋体" w:cs="Times New Roman"/>
                <w:sz w:val="21"/>
                <w:szCs w:val="21"/>
              </w:rPr>
              <w:t>/</w:t>
            </w:r>
            <w:r>
              <w:rPr>
                <w:rFonts w:hint="eastAsia" w:ascii="宋体" w:hAnsi="宋体" w:eastAsia="宋体" w:cs="宋体"/>
                <w:color w:val="auto"/>
                <w:kern w:val="2"/>
                <w:sz w:val="21"/>
                <w:szCs w:val="21"/>
                <w:highlight w:val="none"/>
                <w:lang w:val="en-US" w:eastAsia="zh-CN"/>
              </w:rPr>
              <w:t>各投标人的报价评审总报价</w:t>
            </w:r>
            <w:r>
              <w:rPr>
                <w:rFonts w:hint="eastAsia" w:ascii="宋体" w:hAnsi="宋体" w:eastAsia="宋体" w:cs="Times New Roman"/>
                <w:sz w:val="21"/>
                <w:szCs w:val="21"/>
              </w:rPr>
              <w:t>）×</w:t>
            </w:r>
            <w:r>
              <w:rPr>
                <w:rFonts w:hint="eastAsia" w:ascii="宋体" w:hAnsi="宋体" w:eastAsia="宋体" w:cs="Times New Roman"/>
                <w:sz w:val="21"/>
                <w:szCs w:val="21"/>
                <w:lang w:val="en-US" w:eastAsia="zh-CN"/>
              </w:rPr>
              <w:t>3</w:t>
            </w:r>
            <w:r>
              <w:rPr>
                <w:rFonts w:hint="eastAsia" w:ascii="宋体" w:hAnsi="宋体" w:eastAsia="宋体" w:cs="Times New Roman"/>
                <w:sz w:val="21"/>
                <w:szCs w:val="21"/>
              </w:rPr>
              <w:t>0</w:t>
            </w:r>
          </w:p>
          <w:p w14:paraId="183FDC73">
            <w:pPr>
              <w:pStyle w:val="24"/>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说明：</w:t>
            </w:r>
          </w:p>
          <w:p w14:paraId="21D74B85">
            <w:pPr>
              <w:pStyle w:val="24"/>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rPr>
              <w:t>价格分计算四舍五入后保留2位</w:t>
            </w:r>
            <w:r>
              <w:rPr>
                <w:rFonts w:hint="eastAsia" w:ascii="宋体" w:hAnsi="宋体" w:eastAsia="宋体" w:cs="宋体"/>
                <w:color w:val="auto"/>
                <w:kern w:val="2"/>
                <w:sz w:val="21"/>
                <w:szCs w:val="21"/>
                <w:highlight w:val="none"/>
                <w:lang w:eastAsia="zh-CN"/>
              </w:rPr>
              <w:t>小数</w:t>
            </w:r>
            <w:r>
              <w:rPr>
                <w:rFonts w:hint="eastAsia" w:ascii="宋体" w:hAnsi="宋体" w:eastAsia="宋体" w:cs="宋体"/>
                <w:color w:val="auto"/>
                <w:kern w:val="2"/>
                <w:sz w:val="21"/>
                <w:szCs w:val="21"/>
                <w:highlight w:val="none"/>
              </w:rPr>
              <w:t>。</w:t>
            </w:r>
          </w:p>
          <w:p w14:paraId="3E122FF6">
            <w:pPr>
              <w:pStyle w:val="24"/>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2、最低报价评审总报价：满足招标文件要求且投标报价最低的价格。</w:t>
            </w:r>
          </w:p>
          <w:p w14:paraId="45823E7A">
            <w:pPr>
              <w:pStyle w:val="24"/>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both"/>
              <w:textAlignment w:val="auto"/>
              <w:rPr>
                <w:rFonts w:hint="eastAsia" w:ascii="宋体" w:hAnsi="宋体" w:eastAsia="宋体" w:cs="Times New Roman"/>
                <w:sz w:val="21"/>
                <w:szCs w:val="21"/>
              </w:rPr>
            </w:pPr>
            <w:r>
              <w:rPr>
                <w:rFonts w:hint="eastAsia" w:ascii="宋体" w:hAnsi="宋体" w:eastAsia="宋体" w:cs="宋体"/>
                <w:color w:val="auto"/>
                <w:kern w:val="2"/>
                <w:sz w:val="21"/>
                <w:szCs w:val="21"/>
                <w:highlight w:val="none"/>
                <w:lang w:val="en-US" w:eastAsia="zh-CN"/>
              </w:rPr>
              <w:t>3、各投标人的报价评审总报价：满足招标文件要求的各投标人的投标报价。</w:t>
            </w:r>
          </w:p>
        </w:tc>
      </w:tr>
      <w:tr w14:paraId="7E41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959" w:type="dxa"/>
            <w:vMerge w:val="restart"/>
            <w:tcBorders>
              <w:top w:val="nil"/>
              <w:left w:val="single" w:color="auto" w:sz="4" w:space="0"/>
              <w:right w:val="single" w:color="auto" w:sz="4" w:space="0"/>
            </w:tcBorders>
            <w:noWrap w:val="0"/>
            <w:vAlign w:val="center"/>
          </w:tcPr>
          <w:p w14:paraId="5427CB26">
            <w:pPr>
              <w:pStyle w:val="24"/>
              <w:jc w:val="center"/>
              <w:rPr>
                <w:rFonts w:ascii="宋体" w:hAnsi="宋体" w:eastAsia="宋体" w:cs="Times New Roman"/>
                <w:sz w:val="21"/>
                <w:szCs w:val="21"/>
              </w:rPr>
            </w:pPr>
            <w:r>
              <w:rPr>
                <w:rFonts w:hint="eastAsia" w:ascii="宋体" w:hAnsi="宋体" w:eastAsia="宋体" w:cs="Times New Roman"/>
                <w:sz w:val="21"/>
                <w:szCs w:val="21"/>
              </w:rPr>
              <w:t>技术分</w:t>
            </w:r>
          </w:p>
          <w:p w14:paraId="2B4E0E45">
            <w:pPr>
              <w:pStyle w:val="24"/>
              <w:jc w:val="center"/>
              <w:rPr>
                <w:rFonts w:ascii="宋体" w:hAnsi="宋体" w:eastAsia="宋体" w:cs="Times New Roman"/>
                <w:sz w:val="21"/>
                <w:szCs w:val="21"/>
              </w:rPr>
            </w:pPr>
            <w:r>
              <w:rPr>
                <w:rFonts w:hint="eastAsia" w:ascii="宋体" w:hAnsi="宋体" w:eastAsia="宋体" w:cs="Times New Roman"/>
                <w:sz w:val="21"/>
                <w:szCs w:val="21"/>
              </w:rPr>
              <w:t>（</w:t>
            </w:r>
            <w:r>
              <w:rPr>
                <w:rFonts w:hint="eastAsia" w:ascii="宋体" w:hAnsi="宋体" w:eastAsia="宋体" w:cs="Times New Roman"/>
                <w:sz w:val="21"/>
                <w:szCs w:val="21"/>
                <w:lang w:val="en-US" w:eastAsia="zh-CN"/>
              </w:rPr>
              <w:t>50</w:t>
            </w:r>
            <w:r>
              <w:rPr>
                <w:rFonts w:hint="eastAsia" w:ascii="宋体" w:hAnsi="宋体" w:eastAsia="宋体" w:cs="Times New Roman"/>
                <w:sz w:val="21"/>
                <w:szCs w:val="21"/>
              </w:rPr>
              <w:t>分）</w:t>
            </w:r>
          </w:p>
        </w:tc>
        <w:tc>
          <w:tcPr>
            <w:tcW w:w="1380" w:type="dxa"/>
            <w:tcBorders>
              <w:top w:val="single" w:color="auto" w:sz="4" w:space="0"/>
              <w:left w:val="nil"/>
              <w:bottom w:val="single" w:color="auto" w:sz="4" w:space="0"/>
              <w:right w:val="single" w:color="auto" w:sz="4" w:space="0"/>
            </w:tcBorders>
            <w:noWrap w:val="0"/>
            <w:vAlign w:val="center"/>
          </w:tcPr>
          <w:p w14:paraId="79C7E1C0">
            <w:pPr>
              <w:pStyle w:val="24"/>
              <w:jc w:val="center"/>
              <w:rPr>
                <w:rFonts w:hint="eastAsia" w:ascii="宋体" w:hAnsi="宋体" w:eastAsia="宋体" w:cs="Times New Roman"/>
                <w:b/>
                <w:bCs/>
                <w:sz w:val="21"/>
                <w:szCs w:val="21"/>
              </w:rPr>
            </w:pPr>
            <w:r>
              <w:rPr>
                <w:rFonts w:hint="eastAsia" w:ascii="宋体" w:hAnsi="宋体" w:eastAsia="宋体" w:cs="Times New Roman"/>
                <w:b/>
                <w:bCs/>
                <w:sz w:val="21"/>
                <w:szCs w:val="21"/>
              </w:rPr>
              <w:t>技术参数要求评价分</w:t>
            </w:r>
          </w:p>
          <w:p w14:paraId="37E0ECFC">
            <w:pPr>
              <w:pStyle w:val="24"/>
              <w:jc w:val="center"/>
              <w:rPr>
                <w:rFonts w:hint="default" w:ascii="宋体" w:hAnsi="宋体" w:eastAsia="宋体" w:cs="Times New Roman"/>
                <w:sz w:val="21"/>
                <w:szCs w:val="21"/>
                <w:lang w:val="en-US" w:eastAsia="zh-CN"/>
              </w:rPr>
            </w:pPr>
            <w:r>
              <w:rPr>
                <w:rFonts w:hint="eastAsia" w:ascii="宋体" w:hAnsi="宋体" w:eastAsia="宋体" w:cs="Times New Roman"/>
                <w:b/>
                <w:bCs/>
                <w:sz w:val="21"/>
                <w:szCs w:val="21"/>
                <w:lang w:eastAsia="zh-CN"/>
              </w:rPr>
              <w:t>（</w:t>
            </w:r>
            <w:r>
              <w:rPr>
                <w:rFonts w:hint="eastAsia" w:ascii="宋体" w:hAnsi="宋体" w:eastAsia="宋体" w:cs="Times New Roman"/>
                <w:b/>
                <w:bCs/>
                <w:sz w:val="21"/>
                <w:szCs w:val="21"/>
                <w:lang w:val="en-US" w:eastAsia="zh-CN"/>
              </w:rPr>
              <w:t>客观分）</w:t>
            </w:r>
          </w:p>
        </w:tc>
        <w:tc>
          <w:tcPr>
            <w:tcW w:w="640" w:type="dxa"/>
            <w:tcBorders>
              <w:top w:val="single" w:color="auto" w:sz="4" w:space="0"/>
              <w:left w:val="nil"/>
              <w:bottom w:val="single" w:color="auto" w:sz="4" w:space="0"/>
              <w:right w:val="single" w:color="auto" w:sz="4" w:space="0"/>
            </w:tcBorders>
            <w:noWrap w:val="0"/>
            <w:vAlign w:val="center"/>
          </w:tcPr>
          <w:p w14:paraId="4F8E0A4B">
            <w:pPr>
              <w:pStyle w:val="24"/>
              <w:jc w:val="center"/>
              <w:rPr>
                <w:rFonts w:ascii="宋体" w:hAnsi="宋体" w:eastAsia="宋体" w:cs="Times New Roman"/>
                <w:sz w:val="21"/>
                <w:szCs w:val="21"/>
              </w:rPr>
            </w:pPr>
            <w:r>
              <w:rPr>
                <w:rFonts w:hint="eastAsia" w:ascii="宋体" w:hAnsi="宋体" w:eastAsia="宋体" w:cs="Times New Roman"/>
                <w:sz w:val="21"/>
                <w:szCs w:val="21"/>
                <w:lang w:val="en-US" w:eastAsia="zh-CN"/>
              </w:rPr>
              <w:t>45</w:t>
            </w:r>
            <w:r>
              <w:rPr>
                <w:rFonts w:hint="eastAsia" w:ascii="宋体" w:hAnsi="宋体" w:eastAsia="宋体" w:cs="Times New Roman"/>
                <w:sz w:val="21"/>
                <w:szCs w:val="21"/>
              </w:rPr>
              <w:t>分</w:t>
            </w:r>
          </w:p>
        </w:tc>
        <w:tc>
          <w:tcPr>
            <w:tcW w:w="6387" w:type="dxa"/>
            <w:tcBorders>
              <w:top w:val="single" w:color="auto" w:sz="4" w:space="0"/>
              <w:left w:val="nil"/>
              <w:bottom w:val="single" w:color="auto" w:sz="4" w:space="0"/>
              <w:right w:val="single" w:color="auto" w:sz="4" w:space="0"/>
            </w:tcBorders>
            <w:noWrap w:val="0"/>
            <w:vAlign w:val="top"/>
          </w:tcPr>
          <w:p w14:paraId="38D055B7">
            <w:pPr>
              <w:pStyle w:val="2"/>
              <w:pageBreakBefore w:val="0"/>
              <w:kinsoku/>
              <w:wordWrap/>
              <w:overflowPunct/>
              <w:topLinePunct w:val="0"/>
              <w:bidi w:val="0"/>
              <w:snapToGrid/>
              <w:spacing w:before="0" w:after="0" w:line="240" w:lineRule="auto"/>
              <w:ind w:firstLine="422" w:firstLineChars="200"/>
              <w:jc w:val="both"/>
              <w:textAlignment w:val="auto"/>
              <w:rPr>
                <w:rFonts w:hint="eastAsia" w:ascii="宋体" w:hAnsi="宋体" w:eastAsia="宋体" w:cs="宋体"/>
                <w:bCs/>
                <w:sz w:val="21"/>
                <w:highlight w:val="none"/>
              </w:rPr>
            </w:pPr>
            <w:r>
              <w:rPr>
                <w:rFonts w:hint="eastAsia" w:ascii="宋体" w:hAnsi="宋体" w:eastAsia="宋体" w:cs="宋体"/>
                <w:bCs/>
                <w:sz w:val="21"/>
                <w:highlight w:val="none"/>
              </w:rPr>
              <w:t>评标委员会根据投标产品对招标</w:t>
            </w:r>
            <w:r>
              <w:rPr>
                <w:rFonts w:hint="eastAsia" w:ascii="宋体" w:hAnsi="宋体" w:eastAsia="宋体" w:cs="宋体"/>
                <w:bCs/>
                <w:kern w:val="2"/>
                <w:sz w:val="21"/>
                <w:szCs w:val="21"/>
                <w:highlight w:val="none"/>
              </w:rPr>
              <w:t>文件</w:t>
            </w:r>
            <w:r>
              <w:rPr>
                <w:rFonts w:hint="eastAsia" w:ascii="宋体" w:hAnsi="宋体" w:eastAsia="宋体" w:cs="宋体"/>
                <w:bCs/>
                <w:caps/>
                <w:color w:val="auto"/>
                <w:sz w:val="21"/>
                <w:szCs w:val="21"/>
              </w:rPr>
              <w:t>“第四章 采购清单、技术要求及商务要求”中“二、技术参数要求”</w:t>
            </w:r>
            <w:r>
              <w:rPr>
                <w:rFonts w:hint="eastAsia" w:ascii="宋体" w:hAnsi="宋体" w:eastAsia="宋体" w:cs="宋体"/>
                <w:bCs/>
                <w:sz w:val="21"/>
                <w:highlight w:val="none"/>
              </w:rPr>
              <w:t>的响应情况进行评分。</w:t>
            </w:r>
          </w:p>
          <w:p w14:paraId="355AD73E">
            <w:pPr>
              <w:pageBreakBefore w:val="0"/>
              <w:widowControl w:val="0"/>
              <w:kinsoku/>
              <w:wordWrap/>
              <w:overflowPunct/>
              <w:topLinePunct w:val="0"/>
              <w:bidi w:val="0"/>
              <w:snapToGrid/>
              <w:spacing w:line="240" w:lineRule="auto"/>
              <w:textAlignment w:val="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①投标产品响应完全满足或优于招标文件“第四章 采购清单、技术及商务要求”中“二、技术参数要求”的条款，得分45分：</w:t>
            </w:r>
          </w:p>
          <w:p w14:paraId="3BBA5B97">
            <w:pPr>
              <w:pageBreakBefore w:val="0"/>
              <w:widowControl w:val="0"/>
              <w:kinsoku/>
              <w:wordWrap/>
              <w:overflowPunct/>
              <w:topLinePunct w:val="0"/>
              <w:bidi w:val="0"/>
              <w:snapToGrid/>
              <w:spacing w:line="240" w:lineRule="auto"/>
              <w:textAlignment w:val="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②投标响应与招标文件“第四章 采购清单、技术及商务要求”中“二、技术参数要求”的“▲”条款存在负偏离，每条扣减4分；非“▲”条款存在负偏离，每条扣减2分，扣到0分为止。</w:t>
            </w:r>
          </w:p>
          <w:p w14:paraId="59A4AB61">
            <w:pPr>
              <w:pStyle w:val="24"/>
              <w:keepNext w:val="0"/>
              <w:keepLines w:val="0"/>
              <w:pageBreakBefore w:val="0"/>
              <w:numPr>
                <w:ilvl w:val="0"/>
                <w:numId w:val="0"/>
              </w:numPr>
              <w:suppressLineNumbers w:val="0"/>
              <w:kinsoku/>
              <w:wordWrap/>
              <w:overflowPunct/>
              <w:topLinePunct w:val="0"/>
              <w:bidi w:val="0"/>
              <w:snapToGrid/>
              <w:spacing w:beforeAutospacing="0" w:afterAutospacing="0" w:line="240" w:lineRule="auto"/>
              <w:ind w:right="0" w:rightChars="0" w:firstLine="422" w:firstLineChars="20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rPr>
              <w:t>说明：</w:t>
            </w:r>
          </w:p>
          <w:p w14:paraId="567D5915">
            <w:pPr>
              <w:pStyle w:val="24"/>
              <w:keepNext w:val="0"/>
              <w:keepLines w:val="0"/>
              <w:pageBreakBefore w:val="0"/>
              <w:numPr>
                <w:ilvl w:val="0"/>
                <w:numId w:val="0"/>
              </w:numPr>
              <w:suppressLineNumbers w:val="0"/>
              <w:kinsoku/>
              <w:wordWrap/>
              <w:overflowPunct/>
              <w:topLinePunct w:val="0"/>
              <w:bidi w:val="0"/>
              <w:snapToGrid/>
              <w:spacing w:beforeAutospacing="0" w:afterAutospacing="0" w:line="240" w:lineRule="auto"/>
              <w:ind w:right="0" w:rightChars="0" w:firstLine="422" w:firstLineChars="200"/>
              <w:jc w:val="both"/>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（1）所有技术参数条款</w:t>
            </w:r>
            <w:r>
              <w:rPr>
                <w:rFonts w:hint="eastAsia" w:ascii="宋体" w:hAnsi="宋体" w:eastAsia="宋体" w:cs="宋体"/>
                <w:b w:val="0"/>
                <w:bCs w:val="0"/>
                <w:color w:val="auto"/>
                <w:kern w:val="2"/>
                <w:sz w:val="21"/>
                <w:szCs w:val="21"/>
                <w:highlight w:val="none"/>
                <w:lang w:val="en-US" w:eastAsia="zh-CN"/>
              </w:rPr>
              <w:t>须</w:t>
            </w:r>
            <w:r>
              <w:rPr>
                <w:rFonts w:hint="eastAsia" w:ascii="宋体" w:hAnsi="宋体" w:eastAsia="宋体" w:cs="宋体"/>
                <w:color w:val="auto"/>
                <w:kern w:val="2"/>
                <w:sz w:val="21"/>
                <w:szCs w:val="21"/>
                <w:highlight w:val="none"/>
                <w:lang w:val="en-US" w:eastAsia="zh-CN"/>
              </w:rPr>
              <w:t>提供原厂技术白皮书或具有资质的检测机构出具的检验报告或产品说明书或原厂技术参数确认函为评分依据，所提供的上述证明材料须加盖制造商公章，未加盖制造商公章的视为负偏离。在“技术参数要求偏离表”中必须逐条标注出证明材料中的页码及条目，并对应在证明材料中做出醒目标识（标识具体对应条款，不能标识为整页），否则视为负偏离。（技术参数要求中已有其他具体佐证材料要求的按其要求执行）</w:t>
            </w:r>
          </w:p>
          <w:p w14:paraId="3FA00DA3">
            <w:pPr>
              <w:keepNext w:val="0"/>
              <w:keepLines w:val="0"/>
              <w:widowControl/>
              <w:numPr>
                <w:ilvl w:val="0"/>
                <w:numId w:val="0"/>
              </w:numPr>
              <w:suppressLineNumbers w:val="0"/>
              <w:spacing w:before="0" w:beforeAutospacing="0" w:after="0" w:afterAutospacing="0"/>
              <w:ind w:right="0" w:firstLine="420" w:firstLineChars="200"/>
              <w:jc w:val="left"/>
              <w:rPr>
                <w:rFonts w:hint="eastAsia" w:ascii="宋体" w:hAnsi="宋体" w:eastAsia="宋体"/>
                <w:caps/>
                <w:color w:val="auto"/>
                <w:sz w:val="21"/>
                <w:szCs w:val="21"/>
              </w:rPr>
            </w:pP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2</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0"/>
                <w:szCs w:val="21"/>
                <w:highlight w:val="none"/>
              </w:rPr>
              <w:t>★</w:t>
            </w:r>
            <w:r>
              <w:rPr>
                <w:rFonts w:hint="eastAsia" w:ascii="宋体" w:hAnsi="宋体" w:eastAsia="宋体" w:cs="宋体"/>
                <w:color w:val="auto"/>
                <w:kern w:val="2"/>
                <w:sz w:val="21"/>
                <w:szCs w:val="21"/>
                <w:highlight w:val="none"/>
                <w:lang w:val="en-US" w:eastAsia="zh-CN" w:bidi="ar-SA"/>
              </w:rPr>
              <w:t>”条款作为实质性条款，不参与评分，若存在负偏离，按无效投标处理。</w:t>
            </w:r>
            <w:r>
              <w:rPr>
                <w:rFonts w:hint="eastAsia" w:ascii="宋体" w:hAnsi="宋体" w:eastAsia="宋体"/>
                <w:caps/>
                <w:color w:val="auto"/>
                <w:sz w:val="21"/>
                <w:szCs w:val="21"/>
              </w:rPr>
              <w:t xml:space="preserve">                                         </w:t>
            </w:r>
          </w:p>
        </w:tc>
      </w:tr>
      <w:tr w14:paraId="03CE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959" w:type="dxa"/>
            <w:vMerge w:val="continue"/>
            <w:tcBorders>
              <w:left w:val="single" w:color="auto" w:sz="4" w:space="0"/>
              <w:right w:val="single" w:color="auto" w:sz="4" w:space="0"/>
            </w:tcBorders>
            <w:noWrap w:val="0"/>
            <w:vAlign w:val="center"/>
          </w:tcPr>
          <w:p w14:paraId="15E2D2CB">
            <w:pPr>
              <w:pStyle w:val="24"/>
              <w:jc w:val="center"/>
              <w:rPr>
                <w:rFonts w:hint="eastAsia" w:ascii="宋体" w:hAnsi="宋体" w:eastAsia="宋体" w:cs="Times New Roman"/>
                <w:sz w:val="21"/>
                <w:szCs w:val="21"/>
              </w:rPr>
            </w:pPr>
          </w:p>
        </w:tc>
        <w:tc>
          <w:tcPr>
            <w:tcW w:w="1380" w:type="dxa"/>
            <w:tcBorders>
              <w:top w:val="single" w:color="auto" w:sz="4" w:space="0"/>
              <w:left w:val="nil"/>
              <w:bottom w:val="single" w:color="auto" w:sz="4" w:space="0"/>
              <w:right w:val="single" w:color="auto" w:sz="4" w:space="0"/>
            </w:tcBorders>
            <w:noWrap w:val="0"/>
            <w:vAlign w:val="center"/>
          </w:tcPr>
          <w:p w14:paraId="142D6591">
            <w:pPr>
              <w:pStyle w:val="24"/>
              <w:keepNext w:val="0"/>
              <w:keepLines w:val="0"/>
              <w:pageBreakBefore w:val="0"/>
              <w:kinsoku/>
              <w:wordWrap/>
              <w:overflowPunct/>
              <w:topLinePunct w:val="0"/>
              <w:bidi w:val="0"/>
              <w:snapToGrid/>
              <w:spacing w:line="240" w:lineRule="auto"/>
              <w:jc w:val="center"/>
              <w:textAlignment w:val="auto"/>
              <w:rPr>
                <w:rFonts w:hint="eastAsia" w:ascii="宋体" w:hAnsi="宋体" w:eastAsia="宋体" w:cs="Times New Roman"/>
                <w:color w:val="000000"/>
                <w:sz w:val="21"/>
                <w:szCs w:val="21"/>
                <w:lang w:val="en-US" w:eastAsia="zh-CN" w:bidi="ar-SA"/>
              </w:rPr>
            </w:pPr>
            <w:r>
              <w:rPr>
                <w:rFonts w:hint="eastAsia" w:ascii="宋体" w:hAnsi="宋体" w:eastAsia="宋体" w:cs="宋体"/>
                <w:b/>
                <w:bCs/>
                <w:color w:val="auto"/>
                <w:sz w:val="21"/>
                <w:szCs w:val="21"/>
                <w:highlight w:val="none"/>
                <w:lang w:val="en-US" w:eastAsia="zh-CN"/>
              </w:rPr>
              <w:t>投标产品综合评价</w:t>
            </w:r>
            <w:r>
              <w:rPr>
                <w:rFonts w:hint="eastAsia" w:ascii="宋体" w:hAnsi="宋体" w:eastAsia="宋体" w:cs="Times New Roman"/>
                <w:b/>
                <w:bCs/>
                <w:sz w:val="21"/>
                <w:szCs w:val="21"/>
                <w:lang w:eastAsia="zh-CN"/>
              </w:rPr>
              <w:t>（</w:t>
            </w:r>
            <w:r>
              <w:rPr>
                <w:rFonts w:hint="eastAsia" w:ascii="宋体" w:hAnsi="宋体" w:eastAsia="宋体" w:cs="Times New Roman"/>
                <w:b/>
                <w:bCs/>
                <w:sz w:val="21"/>
                <w:szCs w:val="21"/>
                <w:lang w:val="en-US" w:eastAsia="zh-CN"/>
              </w:rPr>
              <w:t>主观分）</w:t>
            </w:r>
          </w:p>
        </w:tc>
        <w:tc>
          <w:tcPr>
            <w:tcW w:w="640" w:type="dxa"/>
            <w:tcBorders>
              <w:top w:val="single" w:color="auto" w:sz="4" w:space="0"/>
              <w:left w:val="nil"/>
              <w:bottom w:val="single" w:color="auto" w:sz="4" w:space="0"/>
              <w:right w:val="single" w:color="auto" w:sz="4" w:space="0"/>
            </w:tcBorders>
            <w:noWrap w:val="0"/>
            <w:vAlign w:val="center"/>
          </w:tcPr>
          <w:p w14:paraId="1B4AADF7">
            <w:pPr>
              <w:pStyle w:val="24"/>
              <w:keepNext w:val="0"/>
              <w:keepLines w:val="0"/>
              <w:pageBreakBefore w:val="0"/>
              <w:kinsoku/>
              <w:wordWrap/>
              <w:overflowPunct/>
              <w:topLinePunct w:val="0"/>
              <w:bidi w:val="0"/>
              <w:snapToGrid/>
              <w:spacing w:line="240" w:lineRule="auto"/>
              <w:jc w:val="center"/>
              <w:textAlignment w:val="auto"/>
              <w:rPr>
                <w:rFonts w:hint="eastAsia" w:ascii="宋体" w:hAnsi="宋体" w:eastAsia="宋体" w:cs="Times New Roman"/>
                <w:color w:val="000000"/>
                <w:sz w:val="21"/>
                <w:szCs w:val="21"/>
                <w:lang w:val="en-US" w:eastAsia="zh-CN" w:bidi="ar-SA"/>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tc>
        <w:tc>
          <w:tcPr>
            <w:tcW w:w="6387" w:type="dxa"/>
            <w:tcBorders>
              <w:top w:val="single" w:color="auto" w:sz="4" w:space="0"/>
              <w:left w:val="nil"/>
              <w:bottom w:val="single" w:color="auto" w:sz="4" w:space="0"/>
              <w:right w:val="single" w:color="auto" w:sz="4" w:space="0"/>
            </w:tcBorders>
            <w:noWrap w:val="0"/>
            <w:vAlign w:val="top"/>
          </w:tcPr>
          <w:p w14:paraId="4CB0D7F2">
            <w:pPr>
              <w:pStyle w:val="24"/>
              <w:jc w:val="both"/>
              <w:rPr>
                <w:rFonts w:hint="eastAsia" w:ascii="宋体" w:hAnsi="宋体" w:eastAsia="宋体" w:cs="宋体"/>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rPr>
              <w:t>评标委员会</w:t>
            </w:r>
            <w:r>
              <w:rPr>
                <w:rFonts w:hint="eastAsia" w:ascii="宋体" w:hAnsi="宋体" w:eastAsia="宋体" w:cs="Times New Roman"/>
                <w:caps/>
                <w:sz w:val="21"/>
                <w:szCs w:val="21"/>
              </w:rPr>
              <w:t>根据</w:t>
            </w:r>
            <w:r>
              <w:rPr>
                <w:rFonts w:hint="eastAsia" w:ascii="宋体" w:hAnsi="宋体" w:eastAsia="宋体" w:cs="宋体"/>
                <w:color w:val="auto"/>
                <w:kern w:val="2"/>
                <w:sz w:val="21"/>
                <w:szCs w:val="21"/>
                <w:highlight w:val="none"/>
              </w:rPr>
              <w:t>投标人所提供的产品技术资料，从产品的以下方面进行评价：（1）适用</w:t>
            </w:r>
            <w:r>
              <w:rPr>
                <w:rFonts w:hint="eastAsia" w:ascii="宋体" w:hAnsi="宋体" w:eastAsia="宋体" w:cs="宋体"/>
                <w:color w:val="auto"/>
                <w:kern w:val="2"/>
                <w:sz w:val="21"/>
                <w:szCs w:val="21"/>
                <w:highlight w:val="none"/>
                <w:lang w:val="en-US" w:eastAsia="zh-CN"/>
              </w:rPr>
              <w:t>性强</w:t>
            </w:r>
            <w:r>
              <w:rPr>
                <w:rFonts w:hint="eastAsia" w:ascii="宋体" w:hAnsi="宋体" w:eastAsia="宋体" w:cs="宋体"/>
                <w:color w:val="auto"/>
                <w:kern w:val="2"/>
                <w:sz w:val="21"/>
                <w:szCs w:val="21"/>
                <w:highlight w:val="none"/>
              </w:rPr>
              <w:t>；（2）安全</w:t>
            </w:r>
            <w:r>
              <w:rPr>
                <w:rFonts w:hint="eastAsia" w:ascii="宋体" w:hAnsi="宋体" w:eastAsia="宋体" w:cs="宋体"/>
                <w:color w:val="auto"/>
                <w:kern w:val="2"/>
                <w:sz w:val="21"/>
                <w:szCs w:val="21"/>
                <w:highlight w:val="none"/>
                <w:lang w:val="en-US" w:eastAsia="zh-CN"/>
              </w:rPr>
              <w:t>性能高</w:t>
            </w:r>
            <w:r>
              <w:rPr>
                <w:rFonts w:hint="eastAsia" w:ascii="宋体" w:hAnsi="宋体" w:eastAsia="宋体" w:cs="宋体"/>
                <w:color w:val="auto"/>
                <w:kern w:val="2"/>
                <w:sz w:val="21"/>
                <w:szCs w:val="21"/>
                <w:highlight w:val="none"/>
              </w:rPr>
              <w:t>；（3）操作简易方便；（4）技术设计先进；（5）</w:t>
            </w:r>
            <w:r>
              <w:rPr>
                <w:rFonts w:hint="eastAsia" w:ascii="宋体" w:hAnsi="宋体" w:eastAsia="宋体" w:cs="宋体"/>
                <w:color w:val="auto"/>
                <w:kern w:val="2"/>
                <w:sz w:val="21"/>
                <w:szCs w:val="21"/>
                <w:highlight w:val="none"/>
                <w:lang w:val="en-US" w:eastAsia="zh-CN"/>
              </w:rPr>
              <w:t>性能</w:t>
            </w:r>
            <w:r>
              <w:rPr>
                <w:rFonts w:hint="eastAsia" w:ascii="宋体" w:hAnsi="宋体" w:eastAsia="宋体" w:cs="宋体"/>
                <w:color w:val="auto"/>
                <w:kern w:val="2"/>
                <w:sz w:val="21"/>
                <w:szCs w:val="21"/>
                <w:highlight w:val="none"/>
              </w:rPr>
              <w:t>稳定。</w:t>
            </w:r>
          </w:p>
          <w:p w14:paraId="2BB3D930">
            <w:pPr>
              <w:ind w:firstLine="420" w:firstLineChars="200"/>
              <w:rPr>
                <w:rFonts w:hint="eastAsia" w:ascii="宋体" w:hAnsi="宋体" w:eastAsia="宋体" w:cs="宋体"/>
                <w:bCs/>
              </w:rPr>
            </w:pPr>
            <w:r>
              <w:rPr>
                <w:rFonts w:hint="eastAsia" w:ascii="宋体" w:hAnsi="宋体" w:eastAsia="宋体" w:cs="宋体"/>
                <w:bCs/>
              </w:rPr>
              <w:t>①产品综合性能优越：5分；</w:t>
            </w:r>
          </w:p>
          <w:p w14:paraId="01C66CDD">
            <w:pPr>
              <w:ind w:firstLine="420" w:firstLineChars="200"/>
              <w:rPr>
                <w:rFonts w:hint="eastAsia" w:ascii="宋体" w:hAnsi="宋体" w:eastAsia="宋体" w:cs="宋体"/>
                <w:bCs/>
              </w:rPr>
            </w:pPr>
            <w:r>
              <w:rPr>
                <w:rFonts w:hint="eastAsia" w:ascii="宋体" w:hAnsi="宋体" w:eastAsia="宋体" w:cs="宋体"/>
                <w:bCs/>
              </w:rPr>
              <w:t>②综合性能</w:t>
            </w:r>
            <w:r>
              <w:rPr>
                <w:rFonts w:hint="eastAsia" w:ascii="宋体" w:hAnsi="宋体" w:eastAsia="宋体" w:cs="宋体"/>
                <w:bCs/>
                <w:lang w:val="en-US" w:eastAsia="zh-CN"/>
              </w:rPr>
              <w:t>基本</w:t>
            </w:r>
            <w:r>
              <w:rPr>
                <w:rFonts w:hint="eastAsia" w:ascii="宋体" w:hAnsi="宋体" w:eastAsia="宋体" w:cs="宋体"/>
                <w:bCs/>
              </w:rPr>
              <w:t>满足使用需求：4分；</w:t>
            </w:r>
          </w:p>
          <w:p w14:paraId="3B69EF1C">
            <w:pPr>
              <w:ind w:firstLine="420" w:firstLineChars="200"/>
              <w:rPr>
                <w:rFonts w:hint="eastAsia" w:ascii="宋体" w:hAnsi="宋体" w:eastAsia="宋体" w:cs="宋体"/>
                <w:bCs/>
              </w:rPr>
            </w:pPr>
            <w:r>
              <w:rPr>
                <w:rFonts w:hint="eastAsia" w:ascii="宋体" w:hAnsi="宋体" w:eastAsia="宋体" w:cs="宋体"/>
                <w:bCs/>
              </w:rPr>
              <w:t>③综合性能</w:t>
            </w:r>
            <w:r>
              <w:rPr>
                <w:rFonts w:hint="eastAsia" w:ascii="宋体" w:hAnsi="宋体" w:eastAsia="宋体" w:cs="宋体"/>
                <w:bCs/>
                <w:lang w:val="en-US" w:eastAsia="zh-CN"/>
              </w:rPr>
              <w:t>大</w:t>
            </w:r>
            <w:r>
              <w:rPr>
                <w:rFonts w:hint="eastAsia" w:ascii="宋体" w:hAnsi="宋体" w:eastAsia="宋体" w:cs="宋体"/>
                <w:bCs/>
              </w:rPr>
              <w:t>部分符合使用需求：3分；</w:t>
            </w:r>
          </w:p>
          <w:p w14:paraId="5FEBC435">
            <w:pPr>
              <w:ind w:firstLine="420" w:firstLineChars="200"/>
              <w:rPr>
                <w:rFonts w:hint="eastAsia" w:ascii="宋体" w:hAnsi="宋体" w:eastAsia="宋体" w:cs="宋体"/>
                <w:bCs/>
              </w:rPr>
            </w:pPr>
            <w:r>
              <w:rPr>
                <w:rFonts w:hint="eastAsia" w:ascii="宋体" w:hAnsi="宋体" w:eastAsia="宋体" w:cs="宋体"/>
                <w:bCs/>
              </w:rPr>
              <w:t>④综合性能勉强符合使用需求：2分；</w:t>
            </w:r>
          </w:p>
          <w:p w14:paraId="421F1F91">
            <w:pPr>
              <w:ind w:firstLine="420" w:firstLineChars="200"/>
              <w:rPr>
                <w:rFonts w:hint="eastAsia" w:ascii="宋体" w:hAnsi="宋体" w:eastAsia="宋体" w:cs="宋体"/>
                <w:bCs/>
              </w:rPr>
            </w:pPr>
            <w:r>
              <w:rPr>
                <w:rFonts w:hint="eastAsia" w:ascii="宋体" w:hAnsi="宋体" w:eastAsia="宋体" w:cs="宋体"/>
                <w:bCs/>
              </w:rPr>
              <w:t>⑤综合性能不好：1分；</w:t>
            </w:r>
          </w:p>
          <w:p w14:paraId="737F4E93">
            <w:pPr>
              <w:ind w:firstLine="420" w:firstLineChars="200"/>
              <w:rPr>
                <w:rFonts w:hint="default" w:ascii="宋体" w:hAnsi="宋体" w:eastAsia="宋体" w:cs="Times New Roman"/>
                <w:caps/>
                <w:color w:val="000000"/>
                <w:kern w:val="2"/>
                <w:sz w:val="21"/>
                <w:szCs w:val="21"/>
                <w:lang w:val="en-US" w:eastAsia="zh-CN" w:bidi="ar-SA"/>
              </w:rPr>
            </w:pPr>
            <w:r>
              <w:rPr>
                <w:rFonts w:hint="eastAsia" w:ascii="宋体" w:hAnsi="宋体" w:eastAsia="宋体" w:cs="宋体"/>
                <w:bCs/>
              </w:rPr>
              <w:t>⑥产品</w:t>
            </w:r>
            <w:r>
              <w:rPr>
                <w:rFonts w:hint="eastAsia" w:ascii="宋体" w:hAnsi="宋体" w:eastAsia="宋体" w:cs="宋体"/>
                <w:bCs/>
                <w:lang w:val="en-US" w:eastAsia="zh-CN"/>
              </w:rPr>
              <w:t>不满足要求</w:t>
            </w:r>
            <w:r>
              <w:rPr>
                <w:rFonts w:hint="eastAsia" w:ascii="宋体" w:hAnsi="宋体" w:eastAsia="宋体" w:cs="宋体"/>
                <w:bCs/>
              </w:rPr>
              <w:t>：0分。</w:t>
            </w:r>
          </w:p>
        </w:tc>
      </w:tr>
      <w:tr w14:paraId="7791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959" w:type="dxa"/>
            <w:vMerge w:val="restart"/>
            <w:tcBorders>
              <w:top w:val="nil"/>
              <w:left w:val="single" w:color="auto" w:sz="4" w:space="0"/>
              <w:right w:val="single" w:color="auto" w:sz="4" w:space="0"/>
            </w:tcBorders>
            <w:noWrap w:val="0"/>
            <w:vAlign w:val="center"/>
          </w:tcPr>
          <w:p w14:paraId="2152C298">
            <w:pPr>
              <w:pStyle w:val="24"/>
              <w:jc w:val="both"/>
              <w:rPr>
                <w:rFonts w:ascii="宋体" w:hAnsi="宋体" w:eastAsia="宋体" w:cs="Times New Roman"/>
                <w:b/>
                <w:bCs/>
                <w:sz w:val="21"/>
                <w:szCs w:val="21"/>
              </w:rPr>
            </w:pPr>
            <w:r>
              <w:rPr>
                <w:rFonts w:hint="eastAsia" w:ascii="宋体" w:hAnsi="宋体" w:eastAsia="宋体" w:cs="Times New Roman"/>
                <w:b/>
                <w:bCs/>
                <w:sz w:val="21"/>
                <w:szCs w:val="21"/>
              </w:rPr>
              <w:t>商务分</w:t>
            </w:r>
          </w:p>
          <w:p w14:paraId="74AB24B7">
            <w:pPr>
              <w:pStyle w:val="24"/>
              <w:jc w:val="both"/>
              <w:rPr>
                <w:rFonts w:ascii="宋体" w:hAnsi="宋体" w:eastAsia="宋体" w:cs="Times New Roman"/>
                <w:sz w:val="21"/>
                <w:szCs w:val="21"/>
              </w:rPr>
            </w:pPr>
            <w:r>
              <w:rPr>
                <w:rFonts w:hint="eastAsia" w:ascii="宋体" w:hAnsi="宋体" w:eastAsia="宋体" w:cs="Times New Roman"/>
                <w:b/>
                <w:bCs/>
                <w:sz w:val="21"/>
                <w:szCs w:val="21"/>
              </w:rPr>
              <w:t>（</w:t>
            </w:r>
            <w:r>
              <w:rPr>
                <w:rFonts w:hint="eastAsia" w:ascii="宋体" w:hAnsi="宋体" w:eastAsia="宋体" w:cs="Times New Roman"/>
                <w:b/>
                <w:bCs/>
                <w:sz w:val="21"/>
                <w:szCs w:val="21"/>
                <w:lang w:val="en-US" w:eastAsia="zh-CN"/>
              </w:rPr>
              <w:t>20</w:t>
            </w:r>
            <w:r>
              <w:rPr>
                <w:rFonts w:hint="eastAsia" w:ascii="宋体" w:hAnsi="宋体" w:eastAsia="宋体" w:cs="Times New Roman"/>
                <w:b/>
                <w:bCs/>
                <w:sz w:val="21"/>
                <w:szCs w:val="21"/>
              </w:rPr>
              <w:t>分）</w:t>
            </w:r>
          </w:p>
        </w:tc>
        <w:tc>
          <w:tcPr>
            <w:tcW w:w="1380" w:type="dxa"/>
            <w:tcBorders>
              <w:top w:val="single" w:color="auto" w:sz="4" w:space="0"/>
              <w:left w:val="nil"/>
              <w:bottom w:val="single" w:color="auto" w:sz="4" w:space="0"/>
              <w:right w:val="single" w:color="auto" w:sz="4" w:space="0"/>
            </w:tcBorders>
            <w:noWrap w:val="0"/>
            <w:vAlign w:val="center"/>
          </w:tcPr>
          <w:p w14:paraId="028AD82B">
            <w:pPr>
              <w:pStyle w:val="24"/>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维修响应时间</w:t>
            </w:r>
            <w:r>
              <w:rPr>
                <w:rFonts w:hint="eastAsia" w:ascii="宋体" w:hAnsi="宋体" w:eastAsia="宋体" w:cs="Times New Roman"/>
                <w:b/>
                <w:bCs/>
                <w:sz w:val="21"/>
                <w:szCs w:val="21"/>
                <w:lang w:eastAsia="zh-CN"/>
              </w:rPr>
              <w:t>（</w:t>
            </w:r>
            <w:r>
              <w:rPr>
                <w:rFonts w:hint="eastAsia" w:ascii="宋体" w:hAnsi="宋体" w:eastAsia="宋体" w:cs="Times New Roman"/>
                <w:b/>
                <w:bCs/>
                <w:sz w:val="21"/>
                <w:szCs w:val="21"/>
                <w:lang w:val="en-US" w:eastAsia="zh-CN"/>
              </w:rPr>
              <w:t>客观分）</w:t>
            </w:r>
          </w:p>
        </w:tc>
        <w:tc>
          <w:tcPr>
            <w:tcW w:w="640" w:type="dxa"/>
            <w:tcBorders>
              <w:top w:val="single" w:color="auto" w:sz="4" w:space="0"/>
              <w:left w:val="nil"/>
              <w:bottom w:val="single" w:color="auto" w:sz="4" w:space="0"/>
              <w:right w:val="single" w:color="auto" w:sz="4" w:space="0"/>
            </w:tcBorders>
            <w:noWrap w:val="0"/>
            <w:vAlign w:val="center"/>
          </w:tcPr>
          <w:p w14:paraId="067FF488">
            <w:pPr>
              <w:pStyle w:val="24"/>
              <w:jc w:val="center"/>
              <w:rPr>
                <w:rFonts w:ascii="宋体" w:hAnsi="宋体" w:eastAsia="宋体" w:cs="Times New Roman"/>
                <w:sz w:val="21"/>
                <w:szCs w:val="21"/>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分</w:t>
            </w:r>
          </w:p>
        </w:tc>
        <w:tc>
          <w:tcPr>
            <w:tcW w:w="6387" w:type="dxa"/>
            <w:tcBorders>
              <w:top w:val="single" w:color="auto" w:sz="4" w:space="0"/>
              <w:left w:val="nil"/>
              <w:bottom w:val="single" w:color="auto" w:sz="4" w:space="0"/>
              <w:right w:val="single" w:color="auto" w:sz="4" w:space="0"/>
            </w:tcBorders>
            <w:noWrap w:val="0"/>
            <w:vAlign w:val="top"/>
          </w:tcPr>
          <w:p w14:paraId="608348C3">
            <w:pPr>
              <w:pStyle w:val="24"/>
              <w:ind w:firstLine="420" w:firstLineChars="200"/>
              <w:jc w:val="both"/>
              <w:rPr>
                <w:rFonts w:hint="eastAsia" w:ascii="宋体" w:hAnsi="宋体" w:eastAsia="宋体" w:cs="宋体"/>
                <w:caps/>
                <w:color w:val="auto"/>
                <w:sz w:val="21"/>
                <w:szCs w:val="21"/>
                <w:lang w:val="en-US" w:eastAsia="zh-CN"/>
              </w:rPr>
            </w:pPr>
            <w:r>
              <w:rPr>
                <w:rFonts w:hint="eastAsia" w:ascii="宋体" w:hAnsi="宋体" w:eastAsia="宋体" w:cs="宋体"/>
                <w:b w:val="0"/>
                <w:bCs w:val="0"/>
                <w:color w:val="auto"/>
                <w:kern w:val="2"/>
                <w:sz w:val="21"/>
                <w:szCs w:val="21"/>
                <w:highlight w:val="none"/>
                <w:lang w:val="en-US" w:eastAsia="zh-CN"/>
              </w:rPr>
              <w:t>评标委员会</w:t>
            </w:r>
            <w:r>
              <w:rPr>
                <w:rFonts w:hint="eastAsia" w:ascii="宋体" w:hAnsi="宋体" w:eastAsia="宋体" w:cs="宋体"/>
                <w:caps/>
                <w:color w:val="auto"/>
                <w:sz w:val="21"/>
                <w:szCs w:val="21"/>
                <w:lang w:val="en-US" w:eastAsia="zh-CN"/>
              </w:rPr>
              <w:t>根据供应商承诺在质保期内接到维修通知后售后维修工程师到达现场的时间（单位：小时）进行评价（须根据实际情况承诺，若在质保期内未按承诺执行，采购单位将追究相应责任）。</w:t>
            </w:r>
          </w:p>
          <w:p w14:paraId="435D0B0D">
            <w:pPr>
              <w:pStyle w:val="24"/>
              <w:jc w:val="both"/>
              <w:rPr>
                <w:rFonts w:hint="eastAsia" w:ascii="宋体" w:hAnsi="宋体" w:eastAsia="宋体" w:cs="宋体"/>
                <w:caps/>
                <w:color w:val="auto"/>
                <w:sz w:val="21"/>
                <w:szCs w:val="21"/>
                <w:lang w:val="en-US" w:eastAsia="zh-CN"/>
              </w:rPr>
            </w:pPr>
            <w:r>
              <w:rPr>
                <w:rFonts w:hint="eastAsia" w:ascii="宋体" w:hAnsi="宋体" w:eastAsia="宋体" w:cs="宋体"/>
                <w:caps/>
                <w:color w:val="auto"/>
                <w:sz w:val="21"/>
                <w:szCs w:val="21"/>
                <w:lang w:val="en-US" w:eastAsia="zh-CN"/>
              </w:rPr>
              <w:t>①≤3小时：3分；②3小时＜时间≤6小时：2分；</w:t>
            </w:r>
          </w:p>
          <w:p w14:paraId="588CA9C6">
            <w:pPr>
              <w:pStyle w:val="24"/>
              <w:jc w:val="both"/>
              <w:rPr>
                <w:rFonts w:hint="eastAsia" w:ascii="宋体" w:hAnsi="宋体" w:eastAsia="宋体" w:cs="宋体"/>
                <w:caps/>
                <w:color w:val="auto"/>
                <w:sz w:val="21"/>
                <w:szCs w:val="21"/>
                <w:lang w:val="en-US" w:eastAsia="zh-CN"/>
              </w:rPr>
            </w:pPr>
            <w:r>
              <w:rPr>
                <w:rFonts w:hint="eastAsia" w:ascii="宋体" w:hAnsi="宋体" w:eastAsia="宋体" w:cs="宋体"/>
                <w:caps/>
                <w:color w:val="auto"/>
                <w:sz w:val="21"/>
                <w:szCs w:val="21"/>
                <w:lang w:val="en-US" w:eastAsia="zh-CN"/>
              </w:rPr>
              <w:t>③6小时＜时间≤12小时：1分；④＞12小时：0分。</w:t>
            </w:r>
          </w:p>
        </w:tc>
      </w:tr>
      <w:tr w14:paraId="4BFB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959" w:type="dxa"/>
            <w:vMerge w:val="continue"/>
            <w:tcBorders>
              <w:left w:val="single" w:color="auto" w:sz="4" w:space="0"/>
              <w:right w:val="single" w:color="auto" w:sz="4" w:space="0"/>
            </w:tcBorders>
            <w:noWrap w:val="0"/>
            <w:vAlign w:val="center"/>
          </w:tcPr>
          <w:p w14:paraId="041D0013">
            <w:pPr>
              <w:pStyle w:val="24"/>
              <w:jc w:val="both"/>
              <w:rPr>
                <w:rFonts w:hint="eastAsia" w:ascii="宋体" w:hAnsi="宋体" w:eastAsia="宋体" w:cs="Times New Roman"/>
                <w:sz w:val="21"/>
                <w:szCs w:val="21"/>
              </w:rPr>
            </w:pPr>
          </w:p>
        </w:tc>
        <w:tc>
          <w:tcPr>
            <w:tcW w:w="1380" w:type="dxa"/>
            <w:tcBorders>
              <w:top w:val="single" w:color="auto" w:sz="4" w:space="0"/>
              <w:left w:val="nil"/>
              <w:bottom w:val="single" w:color="auto" w:sz="4" w:space="0"/>
              <w:right w:val="single" w:color="auto" w:sz="4" w:space="0"/>
            </w:tcBorders>
            <w:noWrap w:val="0"/>
            <w:vAlign w:val="center"/>
          </w:tcPr>
          <w:p w14:paraId="3B1213E8">
            <w:pPr>
              <w:pStyle w:val="24"/>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授权书评价</w:t>
            </w:r>
            <w:r>
              <w:rPr>
                <w:rFonts w:hint="eastAsia" w:ascii="宋体" w:hAnsi="宋体" w:eastAsia="宋体" w:cs="Times New Roman"/>
                <w:b/>
                <w:bCs/>
                <w:sz w:val="21"/>
                <w:szCs w:val="21"/>
                <w:lang w:eastAsia="zh-CN"/>
              </w:rPr>
              <w:t>（</w:t>
            </w:r>
            <w:r>
              <w:rPr>
                <w:rFonts w:hint="eastAsia" w:ascii="宋体" w:hAnsi="宋体" w:eastAsia="宋体" w:cs="Times New Roman"/>
                <w:b/>
                <w:bCs/>
                <w:sz w:val="21"/>
                <w:szCs w:val="21"/>
                <w:lang w:val="en-US" w:eastAsia="zh-CN"/>
              </w:rPr>
              <w:t>客观分）</w:t>
            </w:r>
          </w:p>
        </w:tc>
        <w:tc>
          <w:tcPr>
            <w:tcW w:w="640" w:type="dxa"/>
            <w:tcBorders>
              <w:top w:val="single" w:color="auto" w:sz="4" w:space="0"/>
              <w:left w:val="nil"/>
              <w:bottom w:val="single" w:color="auto" w:sz="4" w:space="0"/>
              <w:right w:val="single" w:color="auto" w:sz="4" w:space="0"/>
            </w:tcBorders>
            <w:noWrap w:val="0"/>
            <w:vAlign w:val="center"/>
          </w:tcPr>
          <w:p w14:paraId="06EDF998">
            <w:pPr>
              <w:pStyle w:val="24"/>
              <w:jc w:val="center"/>
              <w:rPr>
                <w:rFonts w:hint="eastAsia" w:ascii="宋体" w:hAnsi="宋体" w:eastAsia="宋体"/>
                <w:color w:val="auto"/>
                <w:sz w:val="21"/>
                <w:szCs w:val="21"/>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tc>
        <w:tc>
          <w:tcPr>
            <w:tcW w:w="6387" w:type="dxa"/>
            <w:tcBorders>
              <w:top w:val="single" w:color="auto" w:sz="4" w:space="0"/>
              <w:left w:val="nil"/>
              <w:bottom w:val="single" w:color="auto" w:sz="4" w:space="0"/>
              <w:right w:val="single" w:color="auto" w:sz="4" w:space="0"/>
            </w:tcBorders>
            <w:noWrap w:val="0"/>
            <w:vAlign w:val="top"/>
          </w:tcPr>
          <w:p w14:paraId="3DE577E6">
            <w:pPr>
              <w:pStyle w:val="24"/>
              <w:jc w:val="both"/>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评标委员会根据</w:t>
            </w:r>
            <w:r>
              <w:rPr>
                <w:rFonts w:hint="eastAsia" w:ascii="宋体" w:hAnsi="宋体" w:eastAsia="宋体" w:cs="宋体"/>
                <w:bCs/>
                <w:color w:val="auto"/>
                <w:kern w:val="2"/>
                <w:sz w:val="21"/>
                <w:szCs w:val="21"/>
                <w:highlight w:val="none"/>
              </w:rPr>
              <w:t>投标人</w:t>
            </w:r>
            <w:r>
              <w:rPr>
                <w:rFonts w:hint="eastAsia" w:ascii="宋体" w:hAnsi="宋体" w:eastAsia="宋体" w:cs="宋体"/>
                <w:color w:val="auto"/>
                <w:kern w:val="2"/>
                <w:sz w:val="21"/>
                <w:szCs w:val="21"/>
                <w:highlight w:val="none"/>
              </w:rPr>
              <w:t>提供</w:t>
            </w:r>
            <w:r>
              <w:rPr>
                <w:rFonts w:hint="eastAsia" w:ascii="宋体" w:hAnsi="宋体" w:eastAsia="宋体" w:cs="宋体"/>
                <w:b/>
                <w:bCs/>
                <w:color w:val="auto"/>
                <w:kern w:val="2"/>
                <w:sz w:val="21"/>
                <w:szCs w:val="21"/>
                <w:highlight w:val="none"/>
                <w:lang w:val="en-US" w:eastAsia="zh-CN"/>
              </w:rPr>
              <w:t>所有所投产品</w:t>
            </w:r>
            <w:r>
              <w:rPr>
                <w:rFonts w:hint="eastAsia" w:ascii="宋体" w:hAnsi="宋体" w:eastAsia="宋体" w:cs="宋体"/>
                <w:color w:val="auto"/>
                <w:kern w:val="2"/>
                <w:sz w:val="21"/>
                <w:szCs w:val="21"/>
                <w:highlight w:val="none"/>
              </w:rPr>
              <w:t>制造商或有效授权单位（提供证明文件）出具的针对本项目的销售授权书扫描件进行评价。</w:t>
            </w:r>
          </w:p>
          <w:p w14:paraId="0FDCA341">
            <w:pPr>
              <w:pStyle w:val="24"/>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①提供</w:t>
            </w:r>
            <w:r>
              <w:rPr>
                <w:rFonts w:hint="eastAsia" w:ascii="宋体" w:hAnsi="宋体" w:eastAsia="宋体" w:cs="宋体"/>
                <w:b w:val="0"/>
                <w:bCs w:val="0"/>
                <w:color w:val="auto"/>
                <w:kern w:val="2"/>
                <w:sz w:val="21"/>
                <w:szCs w:val="21"/>
                <w:highlight w:val="none"/>
                <w:lang w:val="en-US" w:eastAsia="zh-CN"/>
              </w:rPr>
              <w:t>所有</w:t>
            </w:r>
            <w:r>
              <w:rPr>
                <w:rFonts w:hint="eastAsia" w:ascii="宋体" w:hAnsi="宋体" w:eastAsia="宋体" w:cs="宋体"/>
                <w:color w:val="auto"/>
                <w:kern w:val="2"/>
                <w:sz w:val="21"/>
                <w:szCs w:val="21"/>
                <w:highlight w:val="none"/>
                <w:lang w:val="en-US" w:eastAsia="zh-CN"/>
              </w:rPr>
              <w:t>所投</w:t>
            </w:r>
            <w:r>
              <w:rPr>
                <w:rFonts w:hint="eastAsia" w:ascii="宋体" w:hAnsi="宋体" w:eastAsia="宋体" w:cs="宋体"/>
                <w:color w:val="auto"/>
                <w:kern w:val="2"/>
                <w:sz w:val="21"/>
                <w:szCs w:val="21"/>
                <w:highlight w:val="none"/>
              </w:rPr>
              <w:t>产品的授权书</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投标供应商为</w:t>
            </w:r>
            <w:r>
              <w:rPr>
                <w:rFonts w:hint="eastAsia" w:ascii="宋体" w:hAnsi="宋体" w:eastAsia="宋体" w:cs="宋体"/>
                <w:color w:val="auto"/>
                <w:kern w:val="2"/>
                <w:sz w:val="21"/>
                <w:szCs w:val="21"/>
                <w:highlight w:val="none"/>
                <w:lang w:val="en-US" w:eastAsia="zh-CN"/>
              </w:rPr>
              <w:t>所有所投产品</w:t>
            </w:r>
            <w:r>
              <w:rPr>
                <w:rFonts w:hint="eastAsia" w:ascii="宋体" w:hAnsi="宋体" w:eastAsia="宋体" w:cs="宋体"/>
                <w:color w:val="auto"/>
                <w:kern w:val="2"/>
                <w:sz w:val="21"/>
                <w:szCs w:val="21"/>
                <w:highlight w:val="none"/>
              </w:rPr>
              <w:t>制造商</w:t>
            </w:r>
            <w:r>
              <w:rPr>
                <w:rFonts w:hint="eastAsia" w:ascii="宋体" w:hAnsi="宋体" w:eastAsia="宋体" w:cs="宋体"/>
                <w:color w:val="auto"/>
                <w:kern w:val="2"/>
                <w:sz w:val="21"/>
                <w:szCs w:val="21"/>
                <w:highlight w:val="none"/>
                <w:lang w:eastAsia="zh-CN"/>
              </w:rPr>
              <w:t>的，</w:t>
            </w:r>
            <w:r>
              <w:rPr>
                <w:rFonts w:hint="eastAsia" w:ascii="宋体" w:hAnsi="宋体" w:eastAsia="宋体" w:cs="宋体"/>
                <w:color w:val="auto"/>
                <w:kern w:val="2"/>
                <w:sz w:val="21"/>
                <w:szCs w:val="21"/>
                <w:highlight w:val="none"/>
                <w:lang w:val="en-US" w:eastAsia="zh-CN"/>
              </w:rPr>
              <w:t>视为已提供）</w:t>
            </w:r>
            <w:r>
              <w:rPr>
                <w:rFonts w:hint="eastAsia" w:ascii="宋体" w:hAnsi="宋体" w:eastAsia="宋体" w:cs="宋体"/>
                <w:color w:val="auto"/>
                <w:kern w:val="2"/>
                <w:sz w:val="21"/>
                <w:szCs w:val="21"/>
                <w:highlight w:val="none"/>
              </w:rPr>
              <w:t>，得</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分。</w:t>
            </w:r>
          </w:p>
          <w:p w14:paraId="160202EA">
            <w:pPr>
              <w:pStyle w:val="24"/>
              <w:jc w:val="both"/>
              <w:rPr>
                <w:rFonts w:hint="eastAsia" w:ascii="宋体" w:hAnsi="宋体" w:eastAsia="宋体" w:cs="宋体"/>
                <w:caps/>
                <w:color w:val="auto"/>
                <w:sz w:val="21"/>
                <w:szCs w:val="21"/>
                <w:lang w:val="en-US" w:eastAsia="zh-CN"/>
              </w:rPr>
            </w:pPr>
            <w:r>
              <w:rPr>
                <w:rFonts w:hint="eastAsia" w:ascii="宋体" w:hAnsi="宋体" w:eastAsia="宋体" w:cs="宋体"/>
                <w:color w:val="auto"/>
                <w:kern w:val="2"/>
                <w:sz w:val="21"/>
                <w:szCs w:val="21"/>
                <w:highlight w:val="none"/>
              </w:rPr>
              <w:t>②</w:t>
            </w:r>
            <w:r>
              <w:rPr>
                <w:rFonts w:hint="eastAsia" w:ascii="宋体" w:hAnsi="宋体" w:eastAsia="宋体" w:cs="宋体"/>
                <w:color w:val="auto"/>
                <w:kern w:val="2"/>
                <w:sz w:val="21"/>
                <w:szCs w:val="21"/>
                <w:highlight w:val="none"/>
                <w:lang w:val="en-US" w:eastAsia="zh-CN"/>
              </w:rPr>
              <w:t>未提供符合要求的所有所投产品的授权书，得0分</w:t>
            </w:r>
            <w:r>
              <w:rPr>
                <w:rFonts w:hint="eastAsia" w:ascii="宋体" w:hAnsi="宋体" w:eastAsia="宋体" w:cs="宋体"/>
                <w:color w:val="auto"/>
                <w:kern w:val="2"/>
                <w:sz w:val="21"/>
                <w:szCs w:val="21"/>
                <w:highlight w:val="none"/>
              </w:rPr>
              <w:t>。</w:t>
            </w:r>
          </w:p>
        </w:tc>
      </w:tr>
      <w:tr w14:paraId="24A1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959" w:type="dxa"/>
            <w:vMerge w:val="continue"/>
            <w:tcBorders>
              <w:left w:val="single" w:color="auto" w:sz="4" w:space="0"/>
              <w:right w:val="single" w:color="auto" w:sz="4" w:space="0"/>
            </w:tcBorders>
            <w:noWrap w:val="0"/>
            <w:vAlign w:val="center"/>
          </w:tcPr>
          <w:p w14:paraId="0231B349">
            <w:pPr>
              <w:pStyle w:val="24"/>
              <w:jc w:val="both"/>
              <w:rPr>
                <w:rFonts w:hint="eastAsia" w:ascii="宋体" w:hAnsi="宋体" w:eastAsia="宋体" w:cs="Times New Roman"/>
                <w:sz w:val="21"/>
                <w:szCs w:val="21"/>
              </w:rPr>
            </w:pPr>
          </w:p>
        </w:tc>
        <w:tc>
          <w:tcPr>
            <w:tcW w:w="1380" w:type="dxa"/>
            <w:tcBorders>
              <w:top w:val="single" w:color="auto" w:sz="4" w:space="0"/>
              <w:left w:val="nil"/>
              <w:bottom w:val="single" w:color="auto" w:sz="4" w:space="0"/>
              <w:right w:val="single" w:color="auto" w:sz="4" w:space="0"/>
            </w:tcBorders>
            <w:noWrap w:val="0"/>
            <w:vAlign w:val="top"/>
          </w:tcPr>
          <w:p w14:paraId="730263C2">
            <w:pPr>
              <w:pStyle w:val="24"/>
              <w:keepNext w:val="0"/>
              <w:keepLines w:val="0"/>
              <w:pageBreakBefore w:val="0"/>
              <w:kinsoku/>
              <w:wordWrap/>
              <w:overflowPunct/>
              <w:topLinePunct w:val="0"/>
              <w:bidi w:val="0"/>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原厂</w:t>
            </w:r>
            <w:r>
              <w:rPr>
                <w:rFonts w:hint="eastAsia" w:ascii="宋体" w:hAnsi="宋体" w:eastAsia="宋体" w:cs="宋体"/>
                <w:b/>
                <w:bCs/>
                <w:color w:val="auto"/>
                <w:kern w:val="2"/>
                <w:sz w:val="21"/>
                <w:szCs w:val="21"/>
                <w:highlight w:val="none"/>
              </w:rPr>
              <w:t>售后服务承诺函评价（客观分）</w:t>
            </w:r>
          </w:p>
        </w:tc>
        <w:tc>
          <w:tcPr>
            <w:tcW w:w="640" w:type="dxa"/>
            <w:tcBorders>
              <w:top w:val="single" w:color="auto" w:sz="4" w:space="0"/>
              <w:left w:val="nil"/>
              <w:bottom w:val="single" w:color="auto" w:sz="4" w:space="0"/>
              <w:right w:val="single" w:color="auto" w:sz="4" w:space="0"/>
            </w:tcBorders>
            <w:noWrap w:val="0"/>
            <w:vAlign w:val="center"/>
          </w:tcPr>
          <w:p w14:paraId="2B03F085">
            <w:pPr>
              <w:pStyle w:val="24"/>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4分</w:t>
            </w:r>
          </w:p>
        </w:tc>
        <w:tc>
          <w:tcPr>
            <w:tcW w:w="6387" w:type="dxa"/>
            <w:tcBorders>
              <w:top w:val="single" w:color="auto" w:sz="4" w:space="0"/>
              <w:left w:val="nil"/>
              <w:bottom w:val="single" w:color="auto" w:sz="4" w:space="0"/>
              <w:right w:val="single" w:color="auto" w:sz="4" w:space="0"/>
            </w:tcBorders>
            <w:noWrap w:val="0"/>
            <w:vAlign w:val="top"/>
          </w:tcPr>
          <w:p w14:paraId="2DB89E0A">
            <w:pPr>
              <w:pStyle w:val="24"/>
              <w:jc w:val="both"/>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评标委员会根据</w:t>
            </w:r>
            <w:r>
              <w:rPr>
                <w:rFonts w:hint="eastAsia" w:ascii="宋体" w:hAnsi="宋体" w:eastAsia="宋体" w:cs="宋体"/>
                <w:bCs/>
                <w:color w:val="auto"/>
                <w:kern w:val="2"/>
                <w:sz w:val="21"/>
                <w:szCs w:val="21"/>
                <w:highlight w:val="none"/>
              </w:rPr>
              <w:t>投标</w:t>
            </w:r>
            <w:r>
              <w:rPr>
                <w:rFonts w:hint="eastAsia" w:ascii="宋体" w:hAnsi="宋体" w:eastAsia="宋体" w:cs="宋体"/>
                <w:color w:val="auto"/>
                <w:kern w:val="2"/>
                <w:sz w:val="21"/>
                <w:szCs w:val="21"/>
                <w:highlight w:val="none"/>
              </w:rPr>
              <w:t>人提供</w:t>
            </w:r>
            <w:r>
              <w:rPr>
                <w:rFonts w:hint="eastAsia" w:ascii="宋体" w:hAnsi="宋体" w:eastAsia="宋体" w:cs="宋体"/>
                <w:b/>
                <w:bCs/>
                <w:color w:val="auto"/>
                <w:kern w:val="2"/>
                <w:sz w:val="21"/>
                <w:szCs w:val="21"/>
                <w:highlight w:val="none"/>
                <w:lang w:val="en-US" w:eastAsia="zh-CN"/>
              </w:rPr>
              <w:t>所有产品“</w:t>
            </w:r>
            <w:r>
              <w:rPr>
                <w:rFonts w:hint="eastAsia" w:ascii="宋体" w:hAnsi="宋体" w:eastAsia="宋体" w:cs="宋体"/>
                <w:b/>
                <w:bCs/>
                <w:color w:val="auto"/>
                <w:kern w:val="2"/>
                <w:sz w:val="21"/>
                <w:szCs w:val="21"/>
                <w:highlight w:val="none"/>
              </w:rPr>
              <w:t>制造商</w:t>
            </w:r>
            <w:r>
              <w:rPr>
                <w:rFonts w:hint="eastAsia" w:ascii="宋体" w:hAnsi="宋体" w:eastAsia="宋体" w:cs="宋体"/>
                <w:b/>
                <w:bCs/>
                <w:color w:val="auto"/>
                <w:kern w:val="2"/>
                <w:sz w:val="21"/>
                <w:szCs w:val="21"/>
                <w:highlight w:val="none"/>
                <w:lang w:val="en-US" w:eastAsia="zh-CN"/>
              </w:rPr>
              <w:t>”</w:t>
            </w:r>
            <w:r>
              <w:rPr>
                <w:rFonts w:hint="eastAsia" w:ascii="宋体" w:hAnsi="宋体" w:eastAsia="宋体" w:cs="宋体"/>
                <w:color w:val="auto"/>
                <w:kern w:val="2"/>
                <w:sz w:val="21"/>
                <w:szCs w:val="21"/>
                <w:highlight w:val="none"/>
              </w:rPr>
              <w:t>或</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与投标产品制造商</w:t>
            </w:r>
            <w:r>
              <w:rPr>
                <w:rFonts w:hint="eastAsia" w:ascii="宋体" w:hAnsi="宋体" w:eastAsia="宋体" w:cs="宋体"/>
                <w:b/>
                <w:bCs/>
                <w:color w:val="auto"/>
                <w:kern w:val="2"/>
                <w:sz w:val="21"/>
                <w:szCs w:val="21"/>
                <w:highlight w:val="none"/>
                <w:lang w:val="en-US" w:eastAsia="zh-CN"/>
              </w:rPr>
              <w:t>存在控股、管理关系、负责售后服务的公司</w:t>
            </w:r>
            <w:r>
              <w:rPr>
                <w:rFonts w:hint="eastAsia" w:ascii="宋体" w:hAnsi="宋体" w:eastAsia="宋体" w:cs="宋体"/>
                <w:color w:val="auto"/>
                <w:kern w:val="2"/>
                <w:sz w:val="21"/>
                <w:szCs w:val="21"/>
                <w:highlight w:val="none"/>
                <w:lang w:val="en-US" w:eastAsia="zh-CN"/>
              </w:rPr>
              <w:t>（提供证明材料）”</w:t>
            </w:r>
            <w:r>
              <w:rPr>
                <w:rFonts w:hint="eastAsia" w:ascii="宋体" w:hAnsi="宋体" w:eastAsia="宋体" w:cs="宋体"/>
                <w:color w:val="auto"/>
                <w:kern w:val="2"/>
                <w:sz w:val="21"/>
                <w:szCs w:val="21"/>
                <w:highlight w:val="none"/>
              </w:rPr>
              <w:t>出具的针对本项目的原厂售后服务承诺函扫描件进行评价。</w:t>
            </w:r>
          </w:p>
          <w:p w14:paraId="1402EA50">
            <w:pPr>
              <w:pStyle w:val="24"/>
              <w:jc w:val="both"/>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①</w:t>
            </w:r>
            <w:r>
              <w:rPr>
                <w:rFonts w:hint="eastAsia" w:ascii="宋体" w:hAnsi="宋体" w:eastAsia="宋体" w:cs="宋体"/>
                <w:color w:val="auto"/>
                <w:kern w:val="2"/>
                <w:sz w:val="21"/>
                <w:szCs w:val="21"/>
                <w:highlight w:val="none"/>
                <w:lang w:val="en-US" w:eastAsia="zh-CN"/>
              </w:rPr>
              <w:t>提供符合上述要求</w:t>
            </w:r>
            <w:r>
              <w:rPr>
                <w:rFonts w:hint="eastAsia" w:ascii="宋体" w:hAnsi="宋体" w:eastAsia="宋体" w:cs="宋体"/>
                <w:color w:val="auto"/>
                <w:kern w:val="2"/>
                <w:sz w:val="21"/>
                <w:szCs w:val="21"/>
                <w:highlight w:val="none"/>
              </w:rPr>
              <w:t>售后服务承诺函，得</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分。</w:t>
            </w:r>
          </w:p>
          <w:p w14:paraId="27B3D385">
            <w:pPr>
              <w:pStyle w:val="24"/>
              <w:jc w:val="both"/>
              <w:rPr>
                <w:rFonts w:hint="eastAsia" w:ascii="宋体" w:hAnsi="宋体" w:eastAsia="宋体" w:cs="宋体"/>
                <w:caps/>
                <w:color w:val="auto"/>
                <w:sz w:val="21"/>
                <w:szCs w:val="21"/>
                <w:highlight w:val="none"/>
                <w:lang w:val="en-US" w:eastAsia="zh-CN"/>
              </w:rPr>
            </w:pPr>
            <w:r>
              <w:rPr>
                <w:rFonts w:hint="eastAsia" w:ascii="宋体" w:hAnsi="宋体" w:eastAsia="宋体" w:cs="宋体"/>
                <w:color w:val="auto"/>
                <w:kern w:val="2"/>
                <w:sz w:val="21"/>
                <w:szCs w:val="21"/>
                <w:highlight w:val="none"/>
              </w:rPr>
              <w:t>②</w:t>
            </w:r>
            <w:r>
              <w:rPr>
                <w:rFonts w:hint="eastAsia" w:ascii="宋体" w:hAnsi="宋体" w:eastAsia="宋体" w:cs="宋体"/>
                <w:color w:val="auto"/>
                <w:kern w:val="2"/>
                <w:sz w:val="21"/>
                <w:szCs w:val="21"/>
                <w:highlight w:val="none"/>
                <w:lang w:val="en-US" w:eastAsia="zh-CN"/>
              </w:rPr>
              <w:t>未提供符合上述要求的售后服务承诺函，得0分</w:t>
            </w:r>
            <w:r>
              <w:rPr>
                <w:rFonts w:hint="eastAsia" w:ascii="宋体" w:hAnsi="宋体" w:eastAsia="宋体" w:cs="宋体"/>
                <w:color w:val="auto"/>
                <w:kern w:val="2"/>
                <w:sz w:val="21"/>
                <w:szCs w:val="21"/>
                <w:highlight w:val="none"/>
              </w:rPr>
              <w:t>。</w:t>
            </w:r>
          </w:p>
        </w:tc>
      </w:tr>
      <w:tr w14:paraId="2EF9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959" w:type="dxa"/>
            <w:vMerge w:val="continue"/>
            <w:tcBorders>
              <w:left w:val="single" w:color="auto" w:sz="4" w:space="0"/>
              <w:right w:val="single" w:color="auto" w:sz="4" w:space="0"/>
            </w:tcBorders>
            <w:noWrap w:val="0"/>
            <w:vAlign w:val="center"/>
          </w:tcPr>
          <w:p w14:paraId="191DEE2B">
            <w:pPr>
              <w:pStyle w:val="24"/>
              <w:jc w:val="both"/>
              <w:rPr>
                <w:rFonts w:ascii="宋体" w:hAnsi="宋体" w:eastAsia="宋体" w:cs="Times New Roman"/>
                <w:sz w:val="21"/>
                <w:szCs w:val="21"/>
              </w:rPr>
            </w:pPr>
          </w:p>
        </w:tc>
        <w:tc>
          <w:tcPr>
            <w:tcW w:w="1380" w:type="dxa"/>
            <w:tcBorders>
              <w:top w:val="single" w:color="auto" w:sz="4" w:space="0"/>
              <w:left w:val="nil"/>
              <w:bottom w:val="single" w:color="auto" w:sz="4" w:space="0"/>
              <w:right w:val="single" w:color="auto" w:sz="4" w:space="0"/>
            </w:tcBorders>
            <w:noWrap w:val="0"/>
            <w:vAlign w:val="center"/>
          </w:tcPr>
          <w:p w14:paraId="12CC4813">
            <w:pPr>
              <w:pStyle w:val="24"/>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业绩评价（客观分）</w:t>
            </w:r>
          </w:p>
        </w:tc>
        <w:tc>
          <w:tcPr>
            <w:tcW w:w="640" w:type="dxa"/>
            <w:tcBorders>
              <w:top w:val="single" w:color="auto" w:sz="4" w:space="0"/>
              <w:left w:val="nil"/>
              <w:bottom w:val="single" w:color="auto" w:sz="4" w:space="0"/>
              <w:right w:val="single" w:color="auto" w:sz="4" w:space="0"/>
            </w:tcBorders>
            <w:noWrap w:val="0"/>
            <w:vAlign w:val="center"/>
          </w:tcPr>
          <w:p w14:paraId="23F532AE">
            <w:pPr>
              <w:pStyle w:val="24"/>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4分</w:t>
            </w:r>
          </w:p>
        </w:tc>
        <w:tc>
          <w:tcPr>
            <w:tcW w:w="6387" w:type="dxa"/>
            <w:tcBorders>
              <w:top w:val="single" w:color="auto" w:sz="4" w:space="0"/>
              <w:left w:val="nil"/>
              <w:bottom w:val="single" w:color="auto" w:sz="4" w:space="0"/>
              <w:right w:val="single" w:color="auto" w:sz="4" w:space="0"/>
            </w:tcBorders>
            <w:noWrap w:val="0"/>
            <w:vAlign w:val="top"/>
          </w:tcPr>
          <w:p w14:paraId="1592424A">
            <w:pPr>
              <w:pStyle w:val="24"/>
              <w:ind w:firstLine="420" w:firstLineChars="200"/>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评标委员会根据</w:t>
            </w:r>
            <w:r>
              <w:rPr>
                <w:rFonts w:hint="eastAsia" w:ascii="宋体" w:hAnsi="宋体" w:eastAsia="宋体" w:cs="宋体"/>
                <w:b/>
                <w:bCs/>
                <w:color w:val="auto"/>
                <w:kern w:val="2"/>
                <w:sz w:val="21"/>
                <w:szCs w:val="21"/>
                <w:highlight w:val="none"/>
                <w:lang w:val="en-US" w:eastAsia="zh-CN"/>
              </w:rPr>
              <w:t>“彩色多普勒超声诊断仪”</w:t>
            </w:r>
            <w:r>
              <w:rPr>
                <w:rFonts w:hint="eastAsia" w:ascii="宋体" w:hAnsi="宋体" w:eastAsia="宋体" w:cs="宋体"/>
                <w:b w:val="0"/>
                <w:bCs w:val="0"/>
                <w:color w:val="auto"/>
                <w:kern w:val="2"/>
                <w:sz w:val="21"/>
                <w:szCs w:val="21"/>
                <w:highlight w:val="none"/>
                <w:lang w:val="en-US" w:eastAsia="zh-CN"/>
              </w:rPr>
              <w:t>2023年1月至今同品牌同型号产品的销售业绩（投标供应商或制造商或其他供应商销售业绩均有效）个数进行评价。须同时提供采购合同（须体现产品名称、品牌和型号）扫描件和验收报告扫描件视为有效业绩。</w:t>
            </w:r>
          </w:p>
          <w:p w14:paraId="4D965E3A">
            <w:pPr>
              <w:pStyle w:val="24"/>
              <w:ind w:firstLine="420" w:firstLineChars="200"/>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每提供1个有效销售业绩，得1分，满分4分。</w:t>
            </w:r>
          </w:p>
        </w:tc>
      </w:tr>
      <w:tr w14:paraId="007A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59" w:type="dxa"/>
            <w:vMerge w:val="continue"/>
            <w:tcBorders>
              <w:left w:val="single" w:color="auto" w:sz="4" w:space="0"/>
              <w:right w:val="single" w:color="auto" w:sz="4" w:space="0"/>
            </w:tcBorders>
            <w:noWrap w:val="0"/>
            <w:vAlign w:val="center"/>
          </w:tcPr>
          <w:p w14:paraId="5475E96E">
            <w:pPr>
              <w:pStyle w:val="24"/>
              <w:jc w:val="both"/>
              <w:rPr>
                <w:rFonts w:ascii="宋体" w:hAnsi="宋体" w:eastAsia="宋体" w:cs="Times New Roman"/>
                <w:sz w:val="21"/>
                <w:szCs w:val="21"/>
              </w:rPr>
            </w:pPr>
          </w:p>
        </w:tc>
        <w:tc>
          <w:tcPr>
            <w:tcW w:w="1380" w:type="dxa"/>
            <w:tcBorders>
              <w:top w:val="single" w:color="auto" w:sz="4" w:space="0"/>
              <w:left w:val="nil"/>
              <w:bottom w:val="single" w:color="auto" w:sz="4" w:space="0"/>
              <w:right w:val="single" w:color="auto" w:sz="4" w:space="0"/>
            </w:tcBorders>
            <w:noWrap w:val="0"/>
            <w:vAlign w:val="center"/>
          </w:tcPr>
          <w:p w14:paraId="6A36AAF2">
            <w:pPr>
              <w:pStyle w:val="24"/>
              <w:keepNext w:val="0"/>
              <w:keepLines w:val="0"/>
              <w:pageBreakBefore w:val="0"/>
              <w:kinsoku/>
              <w:wordWrap/>
              <w:overflowPunct/>
              <w:topLinePunct w:val="0"/>
              <w:bidi w:val="0"/>
              <w:snapToGrid/>
              <w:spacing w:line="240" w:lineRule="auto"/>
              <w:jc w:val="center"/>
              <w:textAlignment w:val="auto"/>
              <w:rPr>
                <w:rFonts w:hint="eastAsia" w:ascii="宋体" w:hAnsi="宋体" w:eastAsia="宋体" w:cs="Times New Roman"/>
                <w:color w:val="000000"/>
                <w:sz w:val="21"/>
                <w:szCs w:val="21"/>
                <w:lang w:val="en-US" w:eastAsia="zh-CN" w:bidi="ar-SA"/>
              </w:rPr>
            </w:pPr>
            <w:r>
              <w:rPr>
                <w:rFonts w:hint="eastAsia" w:ascii="宋体" w:hAnsi="宋体" w:eastAsia="宋体" w:cs="宋体"/>
                <w:b/>
                <w:bCs/>
                <w:color w:val="auto"/>
                <w:sz w:val="21"/>
                <w:szCs w:val="21"/>
                <w:highlight w:val="none"/>
                <w:lang w:val="en-US" w:eastAsia="zh-CN"/>
              </w:rPr>
              <w:t>售后服务方案评价</w:t>
            </w:r>
            <w:r>
              <w:rPr>
                <w:rFonts w:hint="eastAsia" w:ascii="宋体" w:hAnsi="宋体" w:eastAsia="宋体" w:cs="Times New Roman"/>
                <w:b/>
                <w:bCs/>
                <w:sz w:val="21"/>
                <w:szCs w:val="21"/>
                <w:highlight w:val="none"/>
                <w:lang w:eastAsia="zh-CN"/>
              </w:rPr>
              <w:t>（</w:t>
            </w:r>
            <w:r>
              <w:rPr>
                <w:rFonts w:hint="eastAsia" w:ascii="宋体" w:hAnsi="宋体" w:eastAsia="宋体" w:cs="Times New Roman"/>
                <w:b/>
                <w:bCs/>
                <w:sz w:val="21"/>
                <w:szCs w:val="21"/>
                <w:highlight w:val="none"/>
                <w:lang w:val="en-US" w:eastAsia="zh-CN"/>
              </w:rPr>
              <w:t>主观分）</w:t>
            </w:r>
          </w:p>
        </w:tc>
        <w:tc>
          <w:tcPr>
            <w:tcW w:w="640" w:type="dxa"/>
            <w:tcBorders>
              <w:top w:val="single" w:color="auto" w:sz="4" w:space="0"/>
              <w:left w:val="nil"/>
              <w:bottom w:val="single" w:color="auto" w:sz="4" w:space="0"/>
              <w:right w:val="single" w:color="auto" w:sz="4" w:space="0"/>
            </w:tcBorders>
            <w:noWrap w:val="0"/>
            <w:vAlign w:val="center"/>
          </w:tcPr>
          <w:p w14:paraId="4C67BDFF">
            <w:pPr>
              <w:pStyle w:val="24"/>
              <w:keepNext w:val="0"/>
              <w:keepLines w:val="0"/>
              <w:pageBreakBefore w:val="0"/>
              <w:kinsoku/>
              <w:wordWrap/>
              <w:overflowPunct/>
              <w:topLinePunct w:val="0"/>
              <w:bidi w:val="0"/>
              <w:snapToGrid/>
              <w:spacing w:line="240" w:lineRule="auto"/>
              <w:jc w:val="center"/>
              <w:textAlignment w:val="auto"/>
              <w:rPr>
                <w:rFonts w:hint="eastAsia" w:ascii="宋体" w:hAnsi="宋体" w:eastAsia="宋体" w:cs="Times New Roman"/>
                <w:color w:val="000000"/>
                <w:sz w:val="21"/>
                <w:szCs w:val="21"/>
                <w:lang w:val="en-US" w:eastAsia="zh-CN" w:bidi="ar-SA"/>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tc>
        <w:tc>
          <w:tcPr>
            <w:tcW w:w="6387" w:type="dxa"/>
            <w:tcBorders>
              <w:top w:val="single" w:color="auto" w:sz="4" w:space="0"/>
              <w:left w:val="nil"/>
              <w:bottom w:val="single" w:color="auto" w:sz="4" w:space="0"/>
              <w:right w:val="single" w:color="auto" w:sz="4" w:space="0"/>
            </w:tcBorders>
            <w:noWrap w:val="0"/>
            <w:vAlign w:val="top"/>
          </w:tcPr>
          <w:p w14:paraId="4F3D2624">
            <w:pPr>
              <w:pStyle w:val="24"/>
              <w:ind w:firstLine="420" w:firstLineChars="200"/>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评标委员会根据投标人针对本项目所提供的售后服务方案及内容进行综合评价，方案应包括：（1）配送及安装调试方案；（2）培训方案；（3）常规维修保养方案；（4）应急维修措施；（5）售后服务人员。</w:t>
            </w:r>
          </w:p>
          <w:p w14:paraId="55F8B32A">
            <w:pPr>
              <w:pStyle w:val="24"/>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①方案全面完善，内容齐全，售后服务及时，售后服务人员响应符合实际情况，方案优于采购文件提出要求：5分；</w:t>
            </w:r>
          </w:p>
          <w:p w14:paraId="28A1D76F">
            <w:pPr>
              <w:pStyle w:val="24"/>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②方案相对完善，售后服务及配备人员满足需求，方案符合项目需求：4分；</w:t>
            </w:r>
          </w:p>
          <w:p w14:paraId="28C18184">
            <w:pPr>
              <w:pStyle w:val="24"/>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③方案包含售后服务内容但不具体化，基本符合项目需求：3分；</w:t>
            </w:r>
          </w:p>
          <w:p w14:paraId="770E294B">
            <w:pPr>
              <w:pStyle w:val="24"/>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④方案不明确，配备人员和售后服务响应时间不匹配，方案部分符合项目需求：2分；</w:t>
            </w:r>
          </w:p>
          <w:p w14:paraId="7A4FB4EC">
            <w:pPr>
              <w:pStyle w:val="24"/>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⑤方案缺失，售后服务响应不及时：1分；</w:t>
            </w:r>
          </w:p>
          <w:p w14:paraId="0FDB4E0A">
            <w:pPr>
              <w:pStyle w:val="24"/>
              <w:jc w:val="both"/>
              <w:rPr>
                <w:rFonts w:hint="eastAsia" w:ascii="宋体" w:hAnsi="宋体" w:eastAsia="宋体" w:cs="Times New Roman"/>
                <w:caps/>
                <w:color w:val="000000"/>
                <w:sz w:val="21"/>
                <w:szCs w:val="21"/>
                <w:lang w:val="en-US" w:eastAsia="zh-CN" w:bidi="ar-SA"/>
              </w:rPr>
            </w:pPr>
            <w:r>
              <w:rPr>
                <w:rFonts w:hint="eastAsia" w:ascii="宋体" w:hAnsi="宋体" w:eastAsia="宋体" w:cs="宋体"/>
                <w:b w:val="0"/>
                <w:bCs w:val="0"/>
                <w:color w:val="auto"/>
                <w:kern w:val="2"/>
                <w:sz w:val="21"/>
                <w:szCs w:val="21"/>
                <w:highlight w:val="none"/>
                <w:lang w:val="en-US" w:eastAsia="zh-CN"/>
              </w:rPr>
              <w:t>⑥未提供方案或方案完全不可行：0分。</w:t>
            </w:r>
          </w:p>
        </w:tc>
      </w:tr>
    </w:tbl>
    <w:p w14:paraId="4FCB41F8">
      <w:pPr>
        <w:pStyle w:val="24"/>
        <w:spacing w:line="240" w:lineRule="auto"/>
        <w:rPr>
          <w:rFonts w:hint="eastAsia" w:ascii="宋体" w:hAnsi="宋体" w:eastAsia="宋体" w:cs="宋体"/>
          <w:b/>
          <w:bCs/>
          <w:sz w:val="21"/>
          <w:szCs w:val="21"/>
          <w:highlight w:val="none"/>
          <w:lang w:val="en-US" w:eastAsia="zh-CN"/>
        </w:rPr>
      </w:pPr>
      <w:bookmarkStart w:id="12" w:name="_GoBack"/>
      <w:bookmarkEnd w:id="12"/>
    </w:p>
    <w:sectPr>
      <w:footerReference r:id="rId3"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A00002BF" w:usb1="78CF7CFB" w:usb2="00000016" w:usb3="00000000" w:csb0="6006009F" w:csb1="DFD7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3B7A4">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73A52">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F73A52">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EEAFF7"/>
    <w:multiLevelType w:val="singleLevel"/>
    <w:tmpl w:val="97EEAFF7"/>
    <w:lvl w:ilvl="0" w:tentative="0">
      <w:start w:val="1"/>
      <w:numFmt w:val="decimal"/>
      <w:suff w:val="nothing"/>
      <w:lvlText w:val="%1、"/>
      <w:lvlJc w:val="left"/>
    </w:lvl>
  </w:abstractNum>
  <w:abstractNum w:abstractNumId="1">
    <w:nsid w:val="00000002"/>
    <w:multiLevelType w:val="multilevel"/>
    <w:tmpl w:val="00000002"/>
    <w:lvl w:ilvl="0" w:tentative="0">
      <w:start w:val="1"/>
      <w:numFmt w:val="decimal"/>
      <w:isLgl/>
      <w:suff w:val="space"/>
      <w:lvlText w:val="第%1章"/>
      <w:lvlJc w:val="center"/>
      <w:rPr>
        <w:b/>
        <w:bCs/>
        <w:i w:val="0"/>
        <w:iCs w:val="0"/>
        <w:caps w:val="0"/>
        <w:smallCaps w:val="0"/>
        <w:vanish w:val="0"/>
        <w:color w:val="000000"/>
        <w:spacing w:val="0"/>
        <w:position w:val="0"/>
        <w:u w:val="none"/>
        <w:vertAlign w:val="baseline"/>
      </w:rPr>
    </w:lvl>
    <w:lvl w:ilvl="1" w:tentative="0">
      <w:start w:val="1"/>
      <w:numFmt w:val="decimal"/>
      <w:suff w:val="space"/>
      <w:lvlText w:val="%1.%2"/>
      <w:lvlJc w:val="left"/>
      <w:rPr>
        <w:b w:val="0"/>
        <w:bCs w:val="0"/>
        <w:i w:val="0"/>
        <w:iCs w:val="0"/>
        <w:caps w:val="0"/>
        <w:smallCaps w:val="0"/>
        <w:vanish w:val="0"/>
        <w:color w:val="000000"/>
        <w:spacing w:val="0"/>
        <w:position w:val="0"/>
        <w:u w:val="none"/>
        <w:vertAlign w:val="baseline"/>
      </w:rPr>
    </w:lvl>
    <w:lvl w:ilvl="2" w:tentative="0">
      <w:start w:val="1"/>
      <w:numFmt w:val="decimal"/>
      <w:suff w:val="space"/>
      <w:lvlText w:val="%1.%2.%3"/>
      <w:lvlJc w:val="left"/>
      <w:rPr>
        <w:b w:val="0"/>
        <w:bCs w:val="0"/>
        <w:i w:val="0"/>
        <w:iCs w:val="0"/>
        <w:caps w:val="0"/>
        <w:smallCaps w:val="0"/>
        <w:vanish w:val="0"/>
        <w:color w:val="000000"/>
        <w:spacing w:val="0"/>
        <w:position w:val="0"/>
        <w:u w:val="none"/>
        <w:vertAlign w:val="baseline"/>
      </w:rPr>
    </w:lvl>
    <w:lvl w:ilvl="3" w:tentative="0">
      <w:start w:val="1"/>
      <w:numFmt w:val="decimal"/>
      <w:pStyle w:val="4"/>
      <w:suff w:val="space"/>
      <w:lvlText w:val="%1.%2.%3.%4"/>
      <w:lvlJc w:val="left"/>
      <w:rPr>
        <w:b w:val="0"/>
        <w:bCs w:val="0"/>
        <w:i w:val="0"/>
        <w:iCs w:val="0"/>
        <w:caps w:val="0"/>
        <w:smallCaps w:val="0"/>
        <w:vanish w:val="0"/>
        <w:color w:val="000000"/>
        <w:spacing w:val="0"/>
        <w:position w:val="0"/>
        <w:u w:val="none"/>
        <w:vertAlign w:val="baseline"/>
      </w:rPr>
    </w:lvl>
    <w:lvl w:ilvl="4" w:tentative="0">
      <w:start w:val="1"/>
      <w:numFmt w:val="decimal"/>
      <w:suff w:val="space"/>
      <w:lvlText w:val="%1.%2.%3.%4.%5"/>
      <w:lvlJc w:val="left"/>
      <w:rPr>
        <w:b w:val="0"/>
        <w:bCs w:val="0"/>
        <w:i w:val="0"/>
        <w:iCs w:val="0"/>
        <w:caps w:val="0"/>
        <w:smallCaps w:val="0"/>
        <w:vanish w:val="0"/>
        <w:color w:val="000000"/>
        <w:spacing w:val="0"/>
        <w:position w:val="0"/>
        <w:u w:val="none"/>
        <w:vertAlign w:val="baseline"/>
      </w:rPr>
    </w:lvl>
    <w:lvl w:ilvl="5" w:tentative="0">
      <w:start w:val="1"/>
      <w:numFmt w:val="decimal"/>
      <w:suff w:val="space"/>
      <w:lvlText w:val="%1.%2.%3.%4.%5.%6"/>
      <w:lvlJc w:val="left"/>
      <w:rPr>
        <w:rFonts w:hint="eastAsia" w:cs="Times New Roman"/>
        <w:b w:val="0"/>
        <w:bCs w:val="0"/>
        <w:i w:val="0"/>
        <w:iCs w:val="0"/>
        <w:caps w:val="0"/>
        <w:smallCaps w:val="0"/>
        <w:vanish w:val="0"/>
        <w:color w:val="000000"/>
        <w:spacing w:val="0"/>
        <w:position w:val="0"/>
        <w:u w:val="none"/>
        <w:vertAlign w:val="baseline"/>
      </w:rPr>
    </w:lvl>
    <w:lvl w:ilvl="6" w:tentative="0">
      <w:start w:val="1"/>
      <w:numFmt w:val="decimal"/>
      <w:lvlText w:val="%1.%2.%3.%4.%5.%6.%7"/>
      <w:lvlJc w:val="left"/>
      <w:pPr>
        <w:tabs>
          <w:tab w:val="left" w:pos="1242"/>
        </w:tabs>
        <w:ind w:left="1242" w:hanging="1296"/>
      </w:pPr>
      <w:rPr>
        <w:rFonts w:hint="eastAsia"/>
      </w:rPr>
    </w:lvl>
    <w:lvl w:ilvl="7" w:tentative="0">
      <w:start w:val="1"/>
      <w:numFmt w:val="decimal"/>
      <w:lvlText w:val="%1.%2.%3.%4.%5.%6.%7.%8"/>
      <w:lvlJc w:val="left"/>
      <w:pPr>
        <w:tabs>
          <w:tab w:val="left" w:pos="1386"/>
        </w:tabs>
        <w:ind w:left="1386" w:hanging="1440"/>
      </w:pPr>
      <w:rPr>
        <w:rFonts w:hint="eastAsia"/>
      </w:rPr>
    </w:lvl>
    <w:lvl w:ilvl="8" w:tentative="0">
      <w:start w:val="1"/>
      <w:numFmt w:val="decimal"/>
      <w:lvlText w:val="%1.%2.%3.%4.%5.%6.%7.%8.%9"/>
      <w:lvlJc w:val="left"/>
      <w:pPr>
        <w:tabs>
          <w:tab w:val="left" w:pos="1530"/>
        </w:tabs>
        <w:ind w:left="1530" w:hanging="1584"/>
      </w:pPr>
      <w:rPr>
        <w:rFonts w:hint="eastAsia"/>
      </w:rPr>
    </w:lvl>
  </w:abstractNum>
  <w:abstractNum w:abstractNumId="2">
    <w:nsid w:val="070329F0"/>
    <w:multiLevelType w:val="singleLevel"/>
    <w:tmpl w:val="070329F0"/>
    <w:lvl w:ilvl="0" w:tentative="0">
      <w:start w:val="1"/>
      <w:numFmt w:val="decimal"/>
      <w:suff w:val="space"/>
      <w:lvlText w:val="%1."/>
      <w:lvlJc w:val="left"/>
      <w:pPr>
        <w:ind w:left="0" w:firstLine="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zN2E5MDNlMDQ5MmQxNjYwOTI2ODczMDJlZWJmZWQifQ=="/>
  </w:docVars>
  <w:rsids>
    <w:rsidRoot w:val="15491314"/>
    <w:rsid w:val="00156C2D"/>
    <w:rsid w:val="00417EF4"/>
    <w:rsid w:val="00B87A8B"/>
    <w:rsid w:val="00E30FAC"/>
    <w:rsid w:val="01145609"/>
    <w:rsid w:val="016245C6"/>
    <w:rsid w:val="01723513"/>
    <w:rsid w:val="017E6F26"/>
    <w:rsid w:val="0184744E"/>
    <w:rsid w:val="01AF5332"/>
    <w:rsid w:val="01D31020"/>
    <w:rsid w:val="01F114A6"/>
    <w:rsid w:val="028E4F47"/>
    <w:rsid w:val="02E80AFB"/>
    <w:rsid w:val="02F32FFC"/>
    <w:rsid w:val="032F2286"/>
    <w:rsid w:val="035B751F"/>
    <w:rsid w:val="035D6F5F"/>
    <w:rsid w:val="038168BB"/>
    <w:rsid w:val="039F4868"/>
    <w:rsid w:val="03E67448"/>
    <w:rsid w:val="04812FB5"/>
    <w:rsid w:val="04AF1E1F"/>
    <w:rsid w:val="04E43544"/>
    <w:rsid w:val="04FE4606"/>
    <w:rsid w:val="052E47BF"/>
    <w:rsid w:val="056900C2"/>
    <w:rsid w:val="05880374"/>
    <w:rsid w:val="05AB531C"/>
    <w:rsid w:val="05AF3B52"/>
    <w:rsid w:val="066761DB"/>
    <w:rsid w:val="066F5090"/>
    <w:rsid w:val="067A4160"/>
    <w:rsid w:val="06F21F49"/>
    <w:rsid w:val="077F1302"/>
    <w:rsid w:val="07950DBD"/>
    <w:rsid w:val="08202AE5"/>
    <w:rsid w:val="08713341"/>
    <w:rsid w:val="09150170"/>
    <w:rsid w:val="09EF276F"/>
    <w:rsid w:val="0A116B8A"/>
    <w:rsid w:val="0A5C7B97"/>
    <w:rsid w:val="0A892BC4"/>
    <w:rsid w:val="0A9A2D67"/>
    <w:rsid w:val="0B444D3D"/>
    <w:rsid w:val="0CB952B6"/>
    <w:rsid w:val="0CC8715C"/>
    <w:rsid w:val="0D2E7A52"/>
    <w:rsid w:val="0D570D57"/>
    <w:rsid w:val="0D985311"/>
    <w:rsid w:val="0DA63A8D"/>
    <w:rsid w:val="0E2F3FDA"/>
    <w:rsid w:val="0E947667"/>
    <w:rsid w:val="0EA50F72"/>
    <w:rsid w:val="0EFB3964"/>
    <w:rsid w:val="0F7756E1"/>
    <w:rsid w:val="0F7872F8"/>
    <w:rsid w:val="0F825E34"/>
    <w:rsid w:val="0FDF3286"/>
    <w:rsid w:val="10021313"/>
    <w:rsid w:val="10A36267"/>
    <w:rsid w:val="11220530"/>
    <w:rsid w:val="1131366D"/>
    <w:rsid w:val="114E2471"/>
    <w:rsid w:val="12495CFE"/>
    <w:rsid w:val="1283439D"/>
    <w:rsid w:val="146F2E2A"/>
    <w:rsid w:val="147C4516"/>
    <w:rsid w:val="14AD74AF"/>
    <w:rsid w:val="14D7277E"/>
    <w:rsid w:val="15491314"/>
    <w:rsid w:val="15A46B04"/>
    <w:rsid w:val="15C471A6"/>
    <w:rsid w:val="165E3157"/>
    <w:rsid w:val="16AF39B2"/>
    <w:rsid w:val="16DE7DF3"/>
    <w:rsid w:val="16E66D61"/>
    <w:rsid w:val="172D48D7"/>
    <w:rsid w:val="172F4478"/>
    <w:rsid w:val="17570EB8"/>
    <w:rsid w:val="177D585E"/>
    <w:rsid w:val="17AD78D8"/>
    <w:rsid w:val="17CB2582"/>
    <w:rsid w:val="17E31439"/>
    <w:rsid w:val="17E94CA2"/>
    <w:rsid w:val="181D494B"/>
    <w:rsid w:val="181D4C21"/>
    <w:rsid w:val="18403C5D"/>
    <w:rsid w:val="188B3FAB"/>
    <w:rsid w:val="18F558C8"/>
    <w:rsid w:val="18FC6416"/>
    <w:rsid w:val="196D7067"/>
    <w:rsid w:val="198729C4"/>
    <w:rsid w:val="19BB441C"/>
    <w:rsid w:val="19D31972"/>
    <w:rsid w:val="19DB686C"/>
    <w:rsid w:val="19E7309B"/>
    <w:rsid w:val="1A0A34DD"/>
    <w:rsid w:val="1A226249"/>
    <w:rsid w:val="1AED2CFB"/>
    <w:rsid w:val="1B08553F"/>
    <w:rsid w:val="1B560EEF"/>
    <w:rsid w:val="1B6426BF"/>
    <w:rsid w:val="1B7A5535"/>
    <w:rsid w:val="1C3B7A96"/>
    <w:rsid w:val="1C5172BA"/>
    <w:rsid w:val="1C6E7E6B"/>
    <w:rsid w:val="1C843AE2"/>
    <w:rsid w:val="1D6E17A5"/>
    <w:rsid w:val="1D7B502E"/>
    <w:rsid w:val="1D807E56"/>
    <w:rsid w:val="1ED605FE"/>
    <w:rsid w:val="1EEE18F3"/>
    <w:rsid w:val="20023AE3"/>
    <w:rsid w:val="20387439"/>
    <w:rsid w:val="20407429"/>
    <w:rsid w:val="207417C9"/>
    <w:rsid w:val="20C04A0E"/>
    <w:rsid w:val="21022930"/>
    <w:rsid w:val="21A940A3"/>
    <w:rsid w:val="21C4408A"/>
    <w:rsid w:val="222D1C2F"/>
    <w:rsid w:val="22590C76"/>
    <w:rsid w:val="22631AF5"/>
    <w:rsid w:val="22663E20"/>
    <w:rsid w:val="226C6BFB"/>
    <w:rsid w:val="235A6A54"/>
    <w:rsid w:val="23623B5A"/>
    <w:rsid w:val="2378337E"/>
    <w:rsid w:val="23D507D0"/>
    <w:rsid w:val="23FA0237"/>
    <w:rsid w:val="243B4AD7"/>
    <w:rsid w:val="24715847"/>
    <w:rsid w:val="24E16D01"/>
    <w:rsid w:val="24E37D84"/>
    <w:rsid w:val="250E5D48"/>
    <w:rsid w:val="25A62424"/>
    <w:rsid w:val="260033E6"/>
    <w:rsid w:val="268D5392"/>
    <w:rsid w:val="269B71C6"/>
    <w:rsid w:val="273D4A27"/>
    <w:rsid w:val="277059E5"/>
    <w:rsid w:val="27EB411E"/>
    <w:rsid w:val="284321AC"/>
    <w:rsid w:val="28553C8E"/>
    <w:rsid w:val="28AB1AFF"/>
    <w:rsid w:val="29226266"/>
    <w:rsid w:val="295166C8"/>
    <w:rsid w:val="298C417D"/>
    <w:rsid w:val="299D573F"/>
    <w:rsid w:val="2A094D30"/>
    <w:rsid w:val="2AB4113F"/>
    <w:rsid w:val="2B0A5203"/>
    <w:rsid w:val="2B3B360F"/>
    <w:rsid w:val="2B434271"/>
    <w:rsid w:val="2B996587"/>
    <w:rsid w:val="2C506C46"/>
    <w:rsid w:val="2C933DF1"/>
    <w:rsid w:val="2CA174A1"/>
    <w:rsid w:val="2CEA52EC"/>
    <w:rsid w:val="2D6B1AC4"/>
    <w:rsid w:val="2DB63420"/>
    <w:rsid w:val="2DE25FC3"/>
    <w:rsid w:val="2DE97352"/>
    <w:rsid w:val="2E0028ED"/>
    <w:rsid w:val="2E0A726D"/>
    <w:rsid w:val="2E6566A7"/>
    <w:rsid w:val="2EFF2BA5"/>
    <w:rsid w:val="2F0A3A24"/>
    <w:rsid w:val="2F506CB4"/>
    <w:rsid w:val="2F83590D"/>
    <w:rsid w:val="2FD61B58"/>
    <w:rsid w:val="30890F6E"/>
    <w:rsid w:val="30B76C60"/>
    <w:rsid w:val="30FD7388"/>
    <w:rsid w:val="310B3A83"/>
    <w:rsid w:val="31767C45"/>
    <w:rsid w:val="319121DA"/>
    <w:rsid w:val="3207249C"/>
    <w:rsid w:val="322070BA"/>
    <w:rsid w:val="322546D1"/>
    <w:rsid w:val="3234338A"/>
    <w:rsid w:val="32384404"/>
    <w:rsid w:val="325356E2"/>
    <w:rsid w:val="327158F9"/>
    <w:rsid w:val="32732A56"/>
    <w:rsid w:val="32933D30"/>
    <w:rsid w:val="32E97DF4"/>
    <w:rsid w:val="33884F17"/>
    <w:rsid w:val="33E74334"/>
    <w:rsid w:val="33EA3E24"/>
    <w:rsid w:val="34C44675"/>
    <w:rsid w:val="34D2441F"/>
    <w:rsid w:val="35643762"/>
    <w:rsid w:val="35A95499"/>
    <w:rsid w:val="35B30245"/>
    <w:rsid w:val="35DA1C76"/>
    <w:rsid w:val="36A02D0A"/>
    <w:rsid w:val="3756532C"/>
    <w:rsid w:val="379F6CD3"/>
    <w:rsid w:val="38206066"/>
    <w:rsid w:val="383D593D"/>
    <w:rsid w:val="384C6E5B"/>
    <w:rsid w:val="38613F89"/>
    <w:rsid w:val="38BA3151"/>
    <w:rsid w:val="39261255"/>
    <w:rsid w:val="394E275F"/>
    <w:rsid w:val="39C67AA9"/>
    <w:rsid w:val="3A5C08D3"/>
    <w:rsid w:val="3AD1189A"/>
    <w:rsid w:val="3B655943"/>
    <w:rsid w:val="3B9528C7"/>
    <w:rsid w:val="3C3006C0"/>
    <w:rsid w:val="3C7E335B"/>
    <w:rsid w:val="3CA134EE"/>
    <w:rsid w:val="3CEF4259"/>
    <w:rsid w:val="3D136199"/>
    <w:rsid w:val="3DAE1A1E"/>
    <w:rsid w:val="3DB01C3A"/>
    <w:rsid w:val="3DBA4867"/>
    <w:rsid w:val="3E0930F8"/>
    <w:rsid w:val="3E467CB2"/>
    <w:rsid w:val="3E7A2248"/>
    <w:rsid w:val="3E7E2B42"/>
    <w:rsid w:val="3EEB27FE"/>
    <w:rsid w:val="3F0264C5"/>
    <w:rsid w:val="3F7F7B16"/>
    <w:rsid w:val="3FB672B0"/>
    <w:rsid w:val="401F7BBE"/>
    <w:rsid w:val="40387C6E"/>
    <w:rsid w:val="407B7F57"/>
    <w:rsid w:val="40991D67"/>
    <w:rsid w:val="40AD06B3"/>
    <w:rsid w:val="40C451A5"/>
    <w:rsid w:val="40E47132"/>
    <w:rsid w:val="415B3C6B"/>
    <w:rsid w:val="417B255F"/>
    <w:rsid w:val="41AA4BF2"/>
    <w:rsid w:val="41CE4FD9"/>
    <w:rsid w:val="41D103D1"/>
    <w:rsid w:val="421B164C"/>
    <w:rsid w:val="42415557"/>
    <w:rsid w:val="42C03DA0"/>
    <w:rsid w:val="42DA1507"/>
    <w:rsid w:val="430B7913"/>
    <w:rsid w:val="43F565F9"/>
    <w:rsid w:val="44705C7F"/>
    <w:rsid w:val="44F00B6E"/>
    <w:rsid w:val="457A48DC"/>
    <w:rsid w:val="458F482B"/>
    <w:rsid w:val="46080139"/>
    <w:rsid w:val="46133FF3"/>
    <w:rsid w:val="4622744D"/>
    <w:rsid w:val="468A6DA0"/>
    <w:rsid w:val="4760647F"/>
    <w:rsid w:val="47835CCA"/>
    <w:rsid w:val="478A0A1E"/>
    <w:rsid w:val="47B75973"/>
    <w:rsid w:val="48424780"/>
    <w:rsid w:val="486A50DB"/>
    <w:rsid w:val="48C80C5A"/>
    <w:rsid w:val="49267254"/>
    <w:rsid w:val="495518E8"/>
    <w:rsid w:val="49CB7EAA"/>
    <w:rsid w:val="4A0D21C2"/>
    <w:rsid w:val="4A1244A2"/>
    <w:rsid w:val="4A722025"/>
    <w:rsid w:val="4A903D50"/>
    <w:rsid w:val="4A9A1CA8"/>
    <w:rsid w:val="4B1732F9"/>
    <w:rsid w:val="4D027691"/>
    <w:rsid w:val="4D8E361A"/>
    <w:rsid w:val="4DC00A74"/>
    <w:rsid w:val="4DF004BF"/>
    <w:rsid w:val="4E091525"/>
    <w:rsid w:val="4E703DAE"/>
    <w:rsid w:val="4F5B752C"/>
    <w:rsid w:val="4F9370D1"/>
    <w:rsid w:val="4FC96B8B"/>
    <w:rsid w:val="4FE319FB"/>
    <w:rsid w:val="4FE439C5"/>
    <w:rsid w:val="502F3BC7"/>
    <w:rsid w:val="50463208"/>
    <w:rsid w:val="506A34E8"/>
    <w:rsid w:val="50B415EA"/>
    <w:rsid w:val="50B96C00"/>
    <w:rsid w:val="513163EA"/>
    <w:rsid w:val="513F7105"/>
    <w:rsid w:val="514566E6"/>
    <w:rsid w:val="51502C8E"/>
    <w:rsid w:val="51621046"/>
    <w:rsid w:val="51711289"/>
    <w:rsid w:val="51A67184"/>
    <w:rsid w:val="51F37EF0"/>
    <w:rsid w:val="51F91B95"/>
    <w:rsid w:val="51FB5AB5"/>
    <w:rsid w:val="5224454D"/>
    <w:rsid w:val="52432C25"/>
    <w:rsid w:val="529671F9"/>
    <w:rsid w:val="52B92EE7"/>
    <w:rsid w:val="52CA6EA2"/>
    <w:rsid w:val="53114AD1"/>
    <w:rsid w:val="535E75EB"/>
    <w:rsid w:val="537366F2"/>
    <w:rsid w:val="53F65A75"/>
    <w:rsid w:val="54A43723"/>
    <w:rsid w:val="54D54F00"/>
    <w:rsid w:val="554E3DBB"/>
    <w:rsid w:val="554F7B33"/>
    <w:rsid w:val="55564A1D"/>
    <w:rsid w:val="556940EB"/>
    <w:rsid w:val="564600C1"/>
    <w:rsid w:val="568D446F"/>
    <w:rsid w:val="56931678"/>
    <w:rsid w:val="569F23F4"/>
    <w:rsid w:val="56B1675C"/>
    <w:rsid w:val="57390153"/>
    <w:rsid w:val="57727B09"/>
    <w:rsid w:val="577E46FF"/>
    <w:rsid w:val="57CC546B"/>
    <w:rsid w:val="57D936E4"/>
    <w:rsid w:val="58164938"/>
    <w:rsid w:val="586438F5"/>
    <w:rsid w:val="58B60F5D"/>
    <w:rsid w:val="58D42829"/>
    <w:rsid w:val="58E81E30"/>
    <w:rsid w:val="5943175D"/>
    <w:rsid w:val="59D66116"/>
    <w:rsid w:val="5A0E58C7"/>
    <w:rsid w:val="5A384310"/>
    <w:rsid w:val="5A447C90"/>
    <w:rsid w:val="5AE71232"/>
    <w:rsid w:val="5B8F2A37"/>
    <w:rsid w:val="5BB71F8E"/>
    <w:rsid w:val="5C5D0D87"/>
    <w:rsid w:val="5C8C341B"/>
    <w:rsid w:val="5C9F6CAA"/>
    <w:rsid w:val="5CB917F5"/>
    <w:rsid w:val="5CC11316"/>
    <w:rsid w:val="5D2E44D2"/>
    <w:rsid w:val="5D7E7207"/>
    <w:rsid w:val="5D812A89"/>
    <w:rsid w:val="5DE50903"/>
    <w:rsid w:val="5E5B0C16"/>
    <w:rsid w:val="5E602469"/>
    <w:rsid w:val="5E6A153A"/>
    <w:rsid w:val="5E93283E"/>
    <w:rsid w:val="5ED115B9"/>
    <w:rsid w:val="5EF552A7"/>
    <w:rsid w:val="5F3A0F0C"/>
    <w:rsid w:val="5F8108E9"/>
    <w:rsid w:val="5FF509A2"/>
    <w:rsid w:val="5FF53085"/>
    <w:rsid w:val="606F2E37"/>
    <w:rsid w:val="6110461A"/>
    <w:rsid w:val="611B6B1B"/>
    <w:rsid w:val="61722BDF"/>
    <w:rsid w:val="61C50B1E"/>
    <w:rsid w:val="621012D6"/>
    <w:rsid w:val="6223037D"/>
    <w:rsid w:val="62685D90"/>
    <w:rsid w:val="62AF5E96"/>
    <w:rsid w:val="631F28F3"/>
    <w:rsid w:val="63A4104A"/>
    <w:rsid w:val="63D01E3F"/>
    <w:rsid w:val="63EE2C24"/>
    <w:rsid w:val="642926E9"/>
    <w:rsid w:val="649B6646"/>
    <w:rsid w:val="649D4417"/>
    <w:rsid w:val="64A01811"/>
    <w:rsid w:val="64B1772E"/>
    <w:rsid w:val="65093081"/>
    <w:rsid w:val="65313EF5"/>
    <w:rsid w:val="65426D6C"/>
    <w:rsid w:val="654725D5"/>
    <w:rsid w:val="658F17ED"/>
    <w:rsid w:val="660A5ADC"/>
    <w:rsid w:val="66281440"/>
    <w:rsid w:val="66807B4C"/>
    <w:rsid w:val="66AB26EF"/>
    <w:rsid w:val="67C577E1"/>
    <w:rsid w:val="67EE31DB"/>
    <w:rsid w:val="6804655B"/>
    <w:rsid w:val="68D66149"/>
    <w:rsid w:val="693A6306"/>
    <w:rsid w:val="69F32F6D"/>
    <w:rsid w:val="6A4A1BA8"/>
    <w:rsid w:val="6A4E7F61"/>
    <w:rsid w:val="6AE857C8"/>
    <w:rsid w:val="6AF9360B"/>
    <w:rsid w:val="6B2A433E"/>
    <w:rsid w:val="6B657311"/>
    <w:rsid w:val="6B814A32"/>
    <w:rsid w:val="6BD10E4A"/>
    <w:rsid w:val="6C0F3C38"/>
    <w:rsid w:val="6CA200F0"/>
    <w:rsid w:val="6CB634AF"/>
    <w:rsid w:val="6D125276"/>
    <w:rsid w:val="6E1D3ED3"/>
    <w:rsid w:val="6E5800A5"/>
    <w:rsid w:val="6F084B83"/>
    <w:rsid w:val="6F7F4719"/>
    <w:rsid w:val="6FBE16E5"/>
    <w:rsid w:val="6FEE1FCA"/>
    <w:rsid w:val="70651B61"/>
    <w:rsid w:val="70DF1913"/>
    <w:rsid w:val="7130216F"/>
    <w:rsid w:val="71431EA2"/>
    <w:rsid w:val="714A76D4"/>
    <w:rsid w:val="71A4564E"/>
    <w:rsid w:val="722D0F61"/>
    <w:rsid w:val="725105EF"/>
    <w:rsid w:val="72ED6CFE"/>
    <w:rsid w:val="73337CF4"/>
    <w:rsid w:val="7399049F"/>
    <w:rsid w:val="73BD50A4"/>
    <w:rsid w:val="73E6120B"/>
    <w:rsid w:val="7521699E"/>
    <w:rsid w:val="7527332A"/>
    <w:rsid w:val="754045A5"/>
    <w:rsid w:val="755F74C6"/>
    <w:rsid w:val="756B419D"/>
    <w:rsid w:val="75761DFE"/>
    <w:rsid w:val="772C3E21"/>
    <w:rsid w:val="77316C41"/>
    <w:rsid w:val="77890A18"/>
    <w:rsid w:val="77AA4DD8"/>
    <w:rsid w:val="782026E9"/>
    <w:rsid w:val="782E3BC8"/>
    <w:rsid w:val="783A38D3"/>
    <w:rsid w:val="78650950"/>
    <w:rsid w:val="78AC5D47"/>
    <w:rsid w:val="78FB5758"/>
    <w:rsid w:val="79387107"/>
    <w:rsid w:val="79934AF6"/>
    <w:rsid w:val="79FE105C"/>
    <w:rsid w:val="7A3727C0"/>
    <w:rsid w:val="7B14665D"/>
    <w:rsid w:val="7B1542C5"/>
    <w:rsid w:val="7BF5023D"/>
    <w:rsid w:val="7C30396B"/>
    <w:rsid w:val="7C5533D1"/>
    <w:rsid w:val="7C725D31"/>
    <w:rsid w:val="7CCD740C"/>
    <w:rsid w:val="7D1B0177"/>
    <w:rsid w:val="7D9F2B56"/>
    <w:rsid w:val="7DBC3708"/>
    <w:rsid w:val="7DC73EF2"/>
    <w:rsid w:val="7E087828"/>
    <w:rsid w:val="7E3C03A5"/>
    <w:rsid w:val="7E563579"/>
    <w:rsid w:val="7E661DA2"/>
    <w:rsid w:val="7E851D4C"/>
    <w:rsid w:val="7EC565EC"/>
    <w:rsid w:val="7EF415FB"/>
    <w:rsid w:val="7F3D1FD7"/>
    <w:rsid w:val="7F5C3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4"/>
    <w:qFormat/>
    <w:uiPriority w:val="0"/>
    <w:pPr>
      <w:keepNext/>
      <w:keepLines/>
      <w:autoSpaceDE w:val="0"/>
      <w:autoSpaceDN w:val="0"/>
      <w:adjustRightInd w:val="0"/>
      <w:spacing w:before="240" w:after="120" w:line="300" w:lineRule="auto"/>
      <w:jc w:val="center"/>
      <w:outlineLvl w:val="0"/>
    </w:pPr>
    <w:rPr>
      <w:rFonts w:ascii="宋体" w:hAnsi="宋体" w:eastAsia="宋体"/>
      <w:b/>
      <w:kern w:val="44"/>
      <w:sz w:val="32"/>
      <w:szCs w:val="20"/>
    </w:rPr>
  </w:style>
  <w:style w:type="paragraph" w:styleId="3">
    <w:name w:val="heading 2"/>
    <w:basedOn w:val="1"/>
    <w:next w:val="1"/>
    <w:autoRedefine/>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4"/>
    <w:basedOn w:val="1"/>
    <w:next w:val="1"/>
    <w:autoRedefine/>
    <w:qFormat/>
    <w:uiPriority w:val="9"/>
    <w:pPr>
      <w:keepNext/>
      <w:keepLines/>
      <w:numPr>
        <w:ilvl w:val="3"/>
        <w:numId w:val="1"/>
      </w:numPr>
      <w:spacing w:line="360" w:lineRule="auto"/>
      <w:outlineLvl w:val="3"/>
    </w:pPr>
    <w:rPr>
      <w:rFonts w:ascii="微软雅黑" w:hAnsi="微软雅黑" w:eastAsia="微软雅黑"/>
      <w:b/>
      <w:bCs/>
      <w:sz w:val="28"/>
    </w:rPr>
  </w:style>
  <w:style w:type="character" w:default="1" w:styleId="18">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5">
    <w:name w:val="Normal Indent"/>
    <w:basedOn w:val="1"/>
    <w:autoRedefine/>
    <w:qFormat/>
    <w:uiPriority w:val="0"/>
    <w:pPr>
      <w:autoSpaceDE w:val="0"/>
      <w:autoSpaceDN w:val="0"/>
      <w:adjustRightInd w:val="0"/>
      <w:ind w:firstLine="420"/>
      <w:jc w:val="left"/>
    </w:pPr>
    <w:rPr>
      <w:rFonts w:ascii="宋体"/>
      <w:kern w:val="0"/>
      <w:sz w:val="24"/>
      <w:szCs w:val="20"/>
    </w:rPr>
  </w:style>
  <w:style w:type="paragraph" w:styleId="6">
    <w:name w:val="annotation text"/>
    <w:basedOn w:val="1"/>
    <w:qFormat/>
    <w:uiPriority w:val="0"/>
    <w:pPr>
      <w:jc w:val="left"/>
    </w:pPr>
  </w:style>
  <w:style w:type="paragraph" w:styleId="7">
    <w:name w:val="Body Text"/>
    <w:basedOn w:val="1"/>
    <w:autoRedefine/>
    <w:qFormat/>
    <w:uiPriority w:val="0"/>
    <w:pPr>
      <w:tabs>
        <w:tab w:val="left" w:pos="567"/>
      </w:tabs>
      <w:spacing w:before="120" w:line="22" w:lineRule="atLeast"/>
    </w:pPr>
    <w:rPr>
      <w:rFonts w:ascii="宋体" w:hAnsi="宋体"/>
      <w:sz w:val="24"/>
    </w:rPr>
  </w:style>
  <w:style w:type="paragraph" w:styleId="8">
    <w:name w:val="Body Text Indent"/>
    <w:basedOn w:val="1"/>
    <w:autoRedefine/>
    <w:qFormat/>
    <w:uiPriority w:val="0"/>
    <w:pPr>
      <w:spacing w:line="360" w:lineRule="auto"/>
      <w:ind w:firstLine="570"/>
    </w:pPr>
    <w:rPr>
      <w:sz w:val="24"/>
    </w:rPr>
  </w:style>
  <w:style w:type="paragraph" w:styleId="9">
    <w:name w:val="Balloon Text"/>
    <w:basedOn w:val="1"/>
    <w:next w:val="1"/>
    <w:autoRedefine/>
    <w:semiHidden/>
    <w:unhideWhenUsed/>
    <w:qFormat/>
    <w:uiPriority w:val="99"/>
    <w:rPr>
      <w:sz w:val="18"/>
      <w:szCs w:val="18"/>
    </w:rPr>
  </w:style>
  <w:style w:type="paragraph" w:styleId="10">
    <w:name w:val="footer"/>
    <w:basedOn w:val="1"/>
    <w:autoRedefine/>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unhideWhenUsed/>
    <w:qFormat/>
    <w:uiPriority w:val="39"/>
    <w:pPr>
      <w:ind w:left="420" w:leftChars="200"/>
    </w:pPr>
  </w:style>
  <w:style w:type="paragraph" w:styleId="13">
    <w:name w:val="Normal (Web)"/>
    <w:basedOn w:val="1"/>
    <w:autoRedefine/>
    <w:unhideWhenUsed/>
    <w:qFormat/>
    <w:uiPriority w:val="99"/>
    <w:pPr>
      <w:spacing w:before="100" w:beforeAutospacing="1" w:after="100" w:afterAutospacing="1"/>
      <w:jc w:val="left"/>
    </w:pPr>
    <w:rPr>
      <w:kern w:val="0"/>
      <w:sz w:val="24"/>
    </w:rPr>
  </w:style>
  <w:style w:type="paragraph" w:styleId="14">
    <w:name w:val="Body Text First Indent"/>
    <w:basedOn w:val="1"/>
    <w:next w:val="1"/>
    <w:autoRedefine/>
    <w:qFormat/>
    <w:uiPriority w:val="0"/>
    <w:pPr>
      <w:tabs>
        <w:tab w:val="left" w:pos="567"/>
      </w:tabs>
      <w:spacing w:after="0"/>
      <w:ind w:firstLine="420" w:firstLineChars="100"/>
    </w:pPr>
    <w:rPr>
      <w:rFonts w:ascii="Arial" w:hAnsi="Arial"/>
      <w:color w:val="000000"/>
    </w:rPr>
  </w:style>
  <w:style w:type="paragraph" w:styleId="15">
    <w:name w:val="Body Text First Indent 2"/>
    <w:basedOn w:val="8"/>
    <w:autoRedefine/>
    <w:qFormat/>
    <w:uiPriority w:val="0"/>
    <w:pPr>
      <w:keepNext w:val="0"/>
      <w:keepLines w:val="0"/>
      <w:widowControl w:val="0"/>
      <w:suppressLineNumbers w:val="0"/>
      <w:spacing w:before="0" w:beforeAutospacing="0" w:after="0" w:afterAutospacing="0"/>
      <w:ind w:left="420" w:leftChars="200" w:right="0" w:firstLine="420" w:firstLineChars="200"/>
      <w:jc w:val="both"/>
    </w:pPr>
    <w:rPr>
      <w:rFonts w:hint="default" w:ascii="Tahoma" w:hAnsi="Tahoma" w:eastAsia="宋体" w:cs="Times New Roman"/>
      <w:kern w:val="2"/>
      <w:sz w:val="21"/>
      <w:szCs w:val="24"/>
      <w:lang w:val="en-US" w:eastAsia="zh-CN" w:bidi="ar"/>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autoRedefine/>
    <w:qFormat/>
    <w:uiPriority w:val="0"/>
    <w:rPr>
      <w:b/>
    </w:rPr>
  </w:style>
  <w:style w:type="character" w:styleId="20">
    <w:name w:val="Hyperlink"/>
    <w:basedOn w:val="18"/>
    <w:unhideWhenUsed/>
    <w:qFormat/>
    <w:uiPriority w:val="99"/>
    <w:rPr>
      <w:color w:val="0000FF"/>
      <w:u w:val="single"/>
    </w:rPr>
  </w:style>
  <w:style w:type="character" w:styleId="21">
    <w:name w:val="HTML Sample"/>
    <w:basedOn w:val="18"/>
    <w:autoRedefine/>
    <w:qFormat/>
    <w:uiPriority w:val="0"/>
    <w:rPr>
      <w:rFonts w:ascii="Courier New" w:hAnsi="Courier New"/>
    </w:rPr>
  </w:style>
  <w:style w:type="paragraph" w:customStyle="1" w:styleId="22">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3">
    <w:name w:val="文档正文"/>
    <w:basedOn w:val="1"/>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paragraph" w:customStyle="1" w:styleId="24">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25">
    <w:name w:val="List Paragraph"/>
    <w:basedOn w:val="1"/>
    <w:autoRedefine/>
    <w:qFormat/>
    <w:uiPriority w:val="34"/>
    <w:pPr>
      <w:widowControl/>
      <w:ind w:firstLine="420" w:firstLineChars="200"/>
      <w:jc w:val="left"/>
    </w:pPr>
    <w:rPr>
      <w:kern w:val="0"/>
      <w:sz w:val="24"/>
    </w:rPr>
  </w:style>
  <w:style w:type="paragraph" w:customStyle="1" w:styleId="26">
    <w:name w:val="列出段落1"/>
    <w:basedOn w:val="1"/>
    <w:autoRedefine/>
    <w:qFormat/>
    <w:uiPriority w:val="34"/>
    <w:pPr>
      <w:ind w:firstLine="420" w:firstLineChars="200"/>
    </w:pPr>
    <w:rPr>
      <w:rFonts w:ascii="Times New Roman" w:hAnsi="Times New Roman" w:eastAsia="宋体" w:cs="Times New Roman"/>
      <w:szCs w:val="20"/>
    </w:rPr>
  </w:style>
  <w:style w:type="paragraph" w:customStyle="1" w:styleId="27">
    <w:name w:val="正文 A"/>
    <w:autoRedefine/>
    <w:qFormat/>
    <w:uiPriority w:val="0"/>
    <w:rPr>
      <w:rFonts w:ascii="Calibri" w:hAnsi="Calibri" w:eastAsia="Calibri" w:cs="Calibri"/>
      <w:color w:val="000000"/>
      <w:sz w:val="24"/>
      <w:szCs w:val="24"/>
      <w:lang w:val="en-US" w:eastAsia="zh-CN" w:bidi="ar-SA"/>
    </w:rPr>
  </w:style>
  <w:style w:type="paragraph" w:customStyle="1" w:styleId="28">
    <w:name w:val="列出段落3"/>
    <w:basedOn w:val="1"/>
    <w:autoRedefine/>
    <w:qFormat/>
    <w:uiPriority w:val="1"/>
    <w:pPr>
      <w:ind w:left="828" w:hanging="601"/>
    </w:pPr>
    <w:rPr>
      <w:rFonts w:ascii="宋体" w:hAnsi="宋体" w:eastAsia="宋体" w:cs="宋体"/>
      <w:lang w:val="zh-CN" w:eastAsia="zh-CN" w:bidi="zh-CN"/>
    </w:rPr>
  </w:style>
  <w:style w:type="paragraph" w:customStyle="1" w:styleId="29">
    <w:name w:val="正文 New"/>
    <w:autoRedefine/>
    <w:qFormat/>
    <w:uiPriority w:val="0"/>
    <w:pPr>
      <w:widowControl w:val="0"/>
      <w:jc w:val="both"/>
    </w:pPr>
    <w:rPr>
      <w:rFonts w:ascii="Calibri" w:hAnsi="Calibri" w:eastAsia="微软雅黑" w:cs="Times New Roman"/>
      <w:kern w:val="2"/>
      <w:sz w:val="21"/>
      <w:szCs w:val="22"/>
      <w:lang w:val="en-US" w:eastAsia="zh-CN" w:bidi="ar-SA"/>
    </w:rPr>
  </w:style>
  <w:style w:type="paragraph" w:customStyle="1" w:styleId="30">
    <w:name w:val="表格内容"/>
    <w:basedOn w:val="1"/>
    <w:autoRedefine/>
    <w:qFormat/>
    <w:uiPriority w:val="0"/>
    <w:pPr>
      <w:numPr>
        <w:ilvl w:val="0"/>
        <w:numId w:val="0"/>
      </w:numPr>
      <w:spacing w:line="240" w:lineRule="auto"/>
      <w:ind w:firstLine="0" w:firstLineChars="0"/>
      <w:jc w:val="center"/>
    </w:pPr>
    <w:rPr>
      <w:rFonts w:hint="eastAsia" w:ascii="宋体" w:hAnsi="宋体" w:cs="宋体"/>
      <w:sz w:val="24"/>
      <w:szCs w:val="21"/>
    </w:rPr>
  </w:style>
  <w:style w:type="table" w:customStyle="1" w:styleId="31">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32">
    <w:name w:val="列表段落1"/>
    <w:basedOn w:val="1"/>
    <w:qFormat/>
    <w:uiPriority w:val="99"/>
    <w:pPr>
      <w:ind w:firstLine="420" w:firstLineChars="200"/>
    </w:pPr>
  </w:style>
  <w:style w:type="character" w:customStyle="1" w:styleId="33">
    <w:name w:val="font31"/>
    <w:basedOn w:val="18"/>
    <w:qFormat/>
    <w:uiPriority w:val="0"/>
    <w:rPr>
      <w:rFonts w:hint="eastAsia" w:ascii="宋体" w:hAnsi="宋体" w:eastAsia="宋体" w:cs="宋体"/>
      <w:color w:val="000000"/>
      <w:sz w:val="20"/>
      <w:szCs w:val="20"/>
      <w:u w:val="none"/>
    </w:rPr>
  </w:style>
  <w:style w:type="character" w:customStyle="1" w:styleId="34">
    <w:name w:val="标题 1 字符"/>
    <w:link w:val="2"/>
    <w:qFormat/>
    <w:uiPriority w:val="0"/>
    <w:rPr>
      <w:rFonts w:ascii="宋体" w:hAnsi="宋体" w:eastAsia="宋体"/>
      <w:b/>
      <w:kern w:val="44"/>
      <w:sz w:val="32"/>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6362</Words>
  <Characters>6951</Characters>
  <Lines>0</Lines>
  <Paragraphs>0</Paragraphs>
  <TotalTime>0</TotalTime>
  <ScaleCrop>false</ScaleCrop>
  <LinksUpToDate>false</LinksUpToDate>
  <CharactersWithSpaces>7022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2020-12-17T02:28:00Z</dcterms:created>
  <dc:creator>Fx</dc:creator>
  <cp:lastModifiedBy>Administrator</cp:lastModifiedBy>
  <dcterms:modified xsi:type="dcterms:W3CDTF">2026-10-26T07:27:11Z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FAE7F084522E4CED8C918443FEA3D57A_13</vt:lpwstr>
  </property>
  <property fmtid="{D5CDD505-2E9C-101B-9397-08002B2CF9AE}" pid="4" name="KSOTemplateDocerSaveRecord">
    <vt:lpwstr>eyJoZGlkIjoiMzU2NjgwY2JiNDlmZDFhOGNhZTdlOTdkZmRmYWEwYWUiLCJ1c2VySWQiOiI2MjExMjcyOTcifQ==</vt:lpwstr>
  </property>
</Properties>
</file>